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3007BC7">
      <w:pPr>
        <w:tabs>
          <w:tab w:val="left" w:pos="2100"/>
        </w:tabs>
        <w:rPr>
          <w:rFonts w:ascii="宋体" w:hAnsi="宋体" w:cs="宋体"/>
          <w:color w:val="000000" w:themeColor="text1"/>
          <w:sz w:val="36"/>
          <w:highlight w:val="none"/>
          <w14:textFill>
            <w14:solidFill>
              <w14:schemeClr w14:val="tx1"/>
            </w14:solidFill>
          </w14:textFill>
        </w:rPr>
      </w:pPr>
      <w:bookmarkStart w:id="0" w:name="_Toc120614210"/>
      <w:bookmarkStart w:id="1" w:name="_Toc20823272"/>
      <w:bookmarkStart w:id="2" w:name="_Toc479757206"/>
      <w:bookmarkStart w:id="3" w:name="_Toc523127445"/>
      <w:bookmarkStart w:id="4" w:name="_Toc16938516"/>
      <w:bookmarkStart w:id="5" w:name="_Toc513029200"/>
    </w:p>
    <w:p w14:paraId="40B1DE40">
      <w:pPr>
        <w:pStyle w:val="23"/>
        <w:ind w:left="1260"/>
        <w:rPr>
          <w:rFonts w:ascii="仿宋_GB2312" w:hAnsi="仿宋_GB2312" w:eastAsia="仿宋_GB2312" w:cs="仿宋_GB2312"/>
          <w:color w:val="000000" w:themeColor="text1"/>
          <w:sz w:val="36"/>
          <w:highlight w:val="none"/>
          <w14:textFill>
            <w14:solidFill>
              <w14:schemeClr w14:val="tx1"/>
            </w14:solidFill>
          </w14:textFill>
        </w:rPr>
      </w:pPr>
    </w:p>
    <w:p w14:paraId="0AC66C71">
      <w:pPr>
        <w:rPr>
          <w:rFonts w:ascii="仿宋_GB2312" w:hAnsi="仿宋_GB2312" w:eastAsia="仿宋_GB2312" w:cs="仿宋_GB2312"/>
          <w:color w:val="000000" w:themeColor="text1"/>
          <w:sz w:val="36"/>
          <w:highlight w:val="none"/>
          <w14:textFill>
            <w14:solidFill>
              <w14:schemeClr w14:val="tx1"/>
            </w14:solidFill>
          </w14:textFill>
        </w:rPr>
      </w:pPr>
    </w:p>
    <w:p w14:paraId="745C9688">
      <w:pPr>
        <w:pStyle w:val="23"/>
        <w:ind w:left="1260"/>
        <w:rPr>
          <w:rFonts w:ascii="仿宋_GB2312" w:hAnsi="仿宋_GB2312" w:eastAsia="仿宋_GB2312" w:cs="仿宋_GB2312"/>
          <w:color w:val="000000" w:themeColor="text1"/>
          <w:highlight w:val="none"/>
          <w14:textFill>
            <w14:solidFill>
              <w14:schemeClr w14:val="tx1"/>
            </w14:solidFill>
          </w14:textFill>
        </w:rPr>
      </w:pPr>
    </w:p>
    <w:p w14:paraId="780977DD">
      <w:pPr>
        <w:jc w:val="center"/>
        <w:rPr>
          <w:rFonts w:ascii="仿宋_GB2312" w:hAnsi="仿宋_GB2312" w:eastAsia="仿宋_GB2312" w:cs="仿宋_GB2312"/>
          <w:b/>
          <w:color w:val="000000" w:themeColor="text1"/>
          <w:sz w:val="84"/>
          <w:highlight w:val="none"/>
          <w14:textFill>
            <w14:solidFill>
              <w14:schemeClr w14:val="tx1"/>
            </w14:solidFill>
          </w14:textFill>
        </w:rPr>
      </w:pPr>
      <w:r>
        <w:rPr>
          <w:rFonts w:hint="eastAsia" w:ascii="仿宋_GB2312" w:hAnsi="仿宋_GB2312" w:eastAsia="仿宋_GB2312" w:cs="仿宋_GB2312"/>
          <w:bCs/>
          <w:color w:val="000000" w:themeColor="text1"/>
          <w:sz w:val="84"/>
          <w:highlight w:val="none"/>
          <w14:textFill>
            <w14:solidFill>
              <w14:schemeClr w14:val="tx1"/>
            </w14:solidFill>
          </w14:textFill>
        </w:rPr>
        <w:t>招 标 文 件</w:t>
      </w:r>
    </w:p>
    <w:p w14:paraId="754D6F5B">
      <w:pPr>
        <w:rPr>
          <w:rFonts w:ascii="仿宋_GB2312" w:hAnsi="仿宋_GB2312" w:eastAsia="仿宋_GB2312" w:cs="仿宋_GB2312"/>
          <w:b/>
          <w:color w:val="000000" w:themeColor="text1"/>
          <w:sz w:val="32"/>
          <w:highlight w:val="none"/>
          <w14:textFill>
            <w14:solidFill>
              <w14:schemeClr w14:val="tx1"/>
            </w14:solidFill>
          </w14:textFill>
        </w:rPr>
      </w:pPr>
    </w:p>
    <w:p w14:paraId="5EE33AB4">
      <w:pPr>
        <w:jc w:val="center"/>
        <w:rPr>
          <w:rFonts w:ascii="仿宋_GB2312" w:hAnsi="仿宋_GB2312" w:eastAsia="仿宋_GB2312" w:cs="仿宋_GB2312"/>
          <w:b/>
          <w:color w:val="000000" w:themeColor="text1"/>
          <w:sz w:val="32"/>
          <w:highlight w:val="none"/>
          <w14:textFill>
            <w14:solidFill>
              <w14:schemeClr w14:val="tx1"/>
            </w14:solidFill>
          </w14:textFill>
        </w:rPr>
      </w:pPr>
    </w:p>
    <w:p w14:paraId="4911A8D0">
      <w:pPr>
        <w:jc w:val="center"/>
        <w:rPr>
          <w:rFonts w:ascii="仿宋_GB2312" w:hAnsi="仿宋_GB2312" w:eastAsia="仿宋_GB2312" w:cs="仿宋_GB2312"/>
          <w:b/>
          <w:color w:val="000000" w:themeColor="text1"/>
          <w:sz w:val="32"/>
          <w:highlight w:val="none"/>
          <w14:textFill>
            <w14:solidFill>
              <w14:schemeClr w14:val="tx1"/>
            </w14:solidFill>
          </w14:textFill>
        </w:rPr>
      </w:pPr>
    </w:p>
    <w:p w14:paraId="141E68B4">
      <w:pPr>
        <w:jc w:val="center"/>
        <w:rPr>
          <w:rFonts w:hint="eastAsia" w:ascii="仿宋_GB2312" w:hAnsi="仿宋_GB2312" w:eastAsia="仿宋_GB2312" w:cs="仿宋_GB2312"/>
          <w:b/>
          <w:color w:val="000000" w:themeColor="text1"/>
          <w:sz w:val="36"/>
          <w:highlight w:val="none"/>
          <w14:textFill>
            <w14:solidFill>
              <w14:schemeClr w14:val="tx1"/>
            </w14:solidFill>
          </w14:textFill>
        </w:rPr>
      </w:pPr>
      <w:r>
        <w:rPr>
          <w:rFonts w:hint="eastAsia" w:ascii="仿宋_GB2312" w:hAnsi="仿宋_GB2312" w:eastAsia="仿宋_GB2312" w:cs="仿宋_GB2312"/>
          <w:b/>
          <w:color w:val="000000" w:themeColor="text1"/>
          <w:sz w:val="36"/>
          <w:highlight w:val="none"/>
          <w14:textFill>
            <w14:solidFill>
              <w14:schemeClr w14:val="tx1"/>
            </w14:solidFill>
          </w14:textFill>
        </w:rPr>
        <w:t>项目编号：JSZC-320904-JSDZ-G2025-0229</w:t>
      </w:r>
    </w:p>
    <w:p w14:paraId="1E8C4F99">
      <w:pPr>
        <w:rPr>
          <w:rFonts w:ascii="仿宋_GB2312" w:hAnsi="仿宋_GB2312" w:eastAsia="仿宋_GB2312" w:cs="仿宋_GB2312"/>
          <w:b/>
          <w:color w:val="000000" w:themeColor="text1"/>
          <w:sz w:val="36"/>
          <w:szCs w:val="36"/>
          <w:highlight w:val="none"/>
          <w14:textFill>
            <w14:solidFill>
              <w14:schemeClr w14:val="tx1"/>
            </w14:solidFill>
          </w14:textFill>
        </w:rPr>
      </w:pPr>
    </w:p>
    <w:p w14:paraId="4698A8D3">
      <w:pPr>
        <w:ind w:left="-199"/>
        <w:jc w:val="cente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项目名称：</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盐城市大丰人民医院血液科层流病房改造及设备采购项目</w:t>
      </w:r>
    </w:p>
    <w:p w14:paraId="59EB7A23">
      <w:pPr>
        <w:ind w:firstLine="2244"/>
        <w:rPr>
          <w:rFonts w:ascii="仿宋_GB2312" w:hAnsi="仿宋_GB2312" w:eastAsia="仿宋_GB2312" w:cs="仿宋_GB2312"/>
          <w:b/>
          <w:color w:val="000000" w:themeColor="text1"/>
          <w:sz w:val="30"/>
          <w:szCs w:val="30"/>
          <w:highlight w:val="none"/>
          <w14:textFill>
            <w14:solidFill>
              <w14:schemeClr w14:val="tx1"/>
            </w14:solidFill>
          </w14:textFill>
        </w:rPr>
      </w:pPr>
    </w:p>
    <w:p w14:paraId="347FC311">
      <w:pPr>
        <w:rPr>
          <w:rFonts w:ascii="仿宋_GB2312" w:hAnsi="仿宋_GB2312" w:eastAsia="仿宋_GB2312" w:cs="仿宋_GB2312"/>
          <w:b/>
          <w:color w:val="000000" w:themeColor="text1"/>
          <w:sz w:val="32"/>
          <w:highlight w:val="none"/>
          <w14:textFill>
            <w14:solidFill>
              <w14:schemeClr w14:val="tx1"/>
            </w14:solidFill>
          </w14:textFill>
        </w:rPr>
      </w:pPr>
    </w:p>
    <w:p w14:paraId="115F3A30">
      <w:pPr>
        <w:rPr>
          <w:rFonts w:ascii="仿宋_GB2312" w:hAnsi="仿宋_GB2312" w:eastAsia="仿宋_GB2312" w:cs="仿宋_GB2312"/>
          <w:b/>
          <w:color w:val="000000" w:themeColor="text1"/>
          <w:sz w:val="32"/>
          <w:highlight w:val="none"/>
          <w14:textFill>
            <w14:solidFill>
              <w14:schemeClr w14:val="tx1"/>
            </w14:solidFill>
          </w14:textFill>
        </w:rPr>
      </w:pPr>
    </w:p>
    <w:p w14:paraId="14AD70C2">
      <w:pPr>
        <w:rPr>
          <w:rFonts w:ascii="仿宋_GB2312" w:hAnsi="仿宋_GB2312" w:eastAsia="仿宋_GB2312" w:cs="仿宋_GB2312"/>
          <w:b/>
          <w:color w:val="000000" w:themeColor="text1"/>
          <w:sz w:val="32"/>
          <w:highlight w:val="none"/>
          <w14:textFill>
            <w14:solidFill>
              <w14:schemeClr w14:val="tx1"/>
            </w14:solidFill>
          </w14:textFill>
        </w:rPr>
      </w:pPr>
    </w:p>
    <w:p w14:paraId="2ADCE57E">
      <w:pPr>
        <w:pStyle w:val="51"/>
        <w:rPr>
          <w:rFonts w:ascii="仿宋_GB2312" w:hAnsi="仿宋_GB2312" w:eastAsia="仿宋_GB2312" w:cs="仿宋_GB2312"/>
          <w:color w:val="000000" w:themeColor="text1"/>
          <w:highlight w:val="none"/>
          <w14:textFill>
            <w14:solidFill>
              <w14:schemeClr w14:val="tx1"/>
            </w14:solidFill>
          </w14:textFill>
        </w:rPr>
      </w:pPr>
    </w:p>
    <w:p w14:paraId="28A481B5">
      <w:pPr>
        <w:pStyle w:val="6"/>
        <w:rPr>
          <w:rFonts w:ascii="仿宋_GB2312" w:hAnsi="仿宋_GB2312" w:eastAsia="仿宋_GB2312" w:cs="仿宋_GB2312"/>
          <w:color w:val="000000" w:themeColor="text1"/>
          <w:highlight w:val="none"/>
          <w14:textFill>
            <w14:solidFill>
              <w14:schemeClr w14:val="tx1"/>
            </w14:solidFill>
          </w14:textFill>
        </w:rPr>
      </w:pPr>
    </w:p>
    <w:p w14:paraId="2D6AEC4C">
      <w:pPr>
        <w:pStyle w:val="6"/>
        <w:rPr>
          <w:rFonts w:ascii="仿宋_GB2312" w:hAnsi="仿宋_GB2312" w:eastAsia="仿宋_GB2312" w:cs="仿宋_GB2312"/>
          <w:color w:val="000000" w:themeColor="text1"/>
          <w:highlight w:val="none"/>
          <w14:textFill>
            <w14:solidFill>
              <w14:schemeClr w14:val="tx1"/>
            </w14:solidFill>
          </w14:textFill>
        </w:rPr>
      </w:pPr>
    </w:p>
    <w:p w14:paraId="326112F9">
      <w:pPr>
        <w:pStyle w:val="6"/>
        <w:rPr>
          <w:rFonts w:ascii="仿宋_GB2312" w:hAnsi="仿宋_GB2312" w:eastAsia="仿宋_GB2312" w:cs="仿宋_GB2312"/>
          <w:color w:val="000000" w:themeColor="text1"/>
          <w:highlight w:val="none"/>
          <w14:textFill>
            <w14:solidFill>
              <w14:schemeClr w14:val="tx1"/>
            </w14:solidFill>
          </w14:textFill>
        </w:rPr>
      </w:pPr>
    </w:p>
    <w:p w14:paraId="630B9937">
      <w:pPr>
        <w:pStyle w:val="6"/>
        <w:rPr>
          <w:rFonts w:ascii="仿宋_GB2312" w:hAnsi="仿宋_GB2312" w:eastAsia="仿宋_GB2312" w:cs="仿宋_GB2312"/>
          <w:color w:val="000000" w:themeColor="text1"/>
          <w:highlight w:val="none"/>
          <w14:textFill>
            <w14:solidFill>
              <w14:schemeClr w14:val="tx1"/>
            </w14:solidFill>
          </w14:textFill>
        </w:rPr>
      </w:pPr>
    </w:p>
    <w:p w14:paraId="194F986D">
      <w:pPr>
        <w:pStyle w:val="6"/>
        <w:rPr>
          <w:rFonts w:ascii="仿宋_GB2312" w:hAnsi="仿宋_GB2312" w:eastAsia="仿宋_GB2312" w:cs="仿宋_GB2312"/>
          <w:color w:val="000000" w:themeColor="text1"/>
          <w:highlight w:val="none"/>
          <w14:textFill>
            <w14:solidFill>
              <w14:schemeClr w14:val="tx1"/>
            </w14:solidFill>
          </w14:textFill>
        </w:rPr>
      </w:pPr>
    </w:p>
    <w:p w14:paraId="0B502C7A">
      <w:pPr>
        <w:rPr>
          <w:rFonts w:ascii="仿宋_GB2312" w:hAnsi="仿宋_GB2312" w:eastAsia="仿宋_GB2312" w:cs="仿宋_GB2312"/>
          <w:b/>
          <w:color w:val="000000" w:themeColor="text1"/>
          <w:sz w:val="32"/>
          <w:highlight w:val="none"/>
          <w14:textFill>
            <w14:solidFill>
              <w14:schemeClr w14:val="tx1"/>
            </w14:solidFill>
          </w14:textFill>
        </w:rPr>
      </w:pPr>
    </w:p>
    <w:p w14:paraId="373CF283">
      <w:pPr>
        <w:spacing w:before="120" w:after="120" w:line="360" w:lineRule="auto"/>
        <w:jc w:val="center"/>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盐城市大丰人民医院</w:t>
      </w:r>
    </w:p>
    <w:p w14:paraId="47CCC5FE">
      <w:pPr>
        <w:tabs>
          <w:tab w:val="left" w:pos="7560"/>
        </w:tabs>
        <w:spacing w:line="360" w:lineRule="auto"/>
        <w:jc w:val="cente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大洲设计咨询集团有限公司</w:t>
      </w:r>
    </w:p>
    <w:p w14:paraId="432C445E">
      <w:pPr>
        <w:tabs>
          <w:tab w:val="left" w:pos="7560"/>
        </w:tabs>
        <w:spacing w:line="360" w:lineRule="auto"/>
        <w:jc w:val="center"/>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2025年</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12</w:t>
      </w:r>
      <w:r>
        <w:rPr>
          <w:rFonts w:hint="eastAsia" w:ascii="仿宋_GB2312" w:hAnsi="仿宋_GB2312" w:eastAsia="仿宋_GB2312" w:cs="仿宋_GB2312"/>
          <w:b/>
          <w:color w:val="000000" w:themeColor="text1"/>
          <w:sz w:val="36"/>
          <w:szCs w:val="36"/>
          <w:highlight w:val="none"/>
          <w14:textFill>
            <w14:solidFill>
              <w14:schemeClr w14:val="tx1"/>
            </w14:solidFill>
          </w14:textFill>
        </w:rPr>
        <w:t>月</w:t>
      </w:r>
    </w:p>
    <w:p w14:paraId="083C3A02">
      <w:pPr>
        <w:spacing w:line="480" w:lineRule="auto"/>
        <w:jc w:val="center"/>
        <w:outlineLvl w:val="0"/>
        <w:rPr>
          <w:rFonts w:ascii="宋体" w:hAnsi="宋体" w:cs="宋体"/>
          <w:b/>
          <w:color w:val="000000" w:themeColor="text1"/>
          <w:sz w:val="36"/>
          <w:szCs w:val="36"/>
          <w:highlight w:val="none"/>
          <w14:textFill>
            <w14:solidFill>
              <w14:schemeClr w14:val="tx1"/>
            </w14:solidFill>
          </w14:textFill>
        </w:rPr>
      </w:pPr>
    </w:p>
    <w:p w14:paraId="68DDBB7B">
      <w:pPr>
        <w:spacing w:line="480" w:lineRule="auto"/>
        <w:jc w:val="center"/>
        <w:outlineLvl w:val="0"/>
        <w:rPr>
          <w:rFonts w:ascii="宋体" w:hAnsi="宋体" w:cs="宋体"/>
          <w:b/>
          <w:color w:val="000000" w:themeColor="text1"/>
          <w:sz w:val="36"/>
          <w:szCs w:val="36"/>
          <w:highlight w:val="none"/>
          <w14:textFill>
            <w14:solidFill>
              <w14:schemeClr w14:val="tx1"/>
            </w14:solidFill>
          </w14:textFill>
        </w:rPr>
        <w:sectPr>
          <w:headerReference r:id="rId3" w:type="default"/>
          <w:footerReference r:id="rId4" w:type="default"/>
          <w:footerReference r:id="rId5" w:type="even"/>
          <w:pgSz w:w="11906" w:h="16838" w:orient="landscape"/>
          <w:pgMar w:top="1440" w:right="1587" w:bottom="1440" w:left="1387" w:header="851" w:footer="907" w:gutter="0"/>
          <w:pgBorders>
            <w:top w:val="none" w:sz="0" w:space="0"/>
            <w:left w:val="none" w:sz="0" w:space="0"/>
            <w:bottom w:val="none" w:sz="0" w:space="0"/>
            <w:right w:val="none" w:sz="0" w:space="0"/>
          </w:pgBorders>
          <w:pgNumType w:start="0"/>
          <w:cols w:space="720" w:num="1"/>
          <w:titlePg/>
        </w:sectPr>
      </w:pPr>
      <w:bookmarkStart w:id="6" w:name="_Toc11331"/>
    </w:p>
    <w:p w14:paraId="0445F0FF">
      <w:pPr>
        <w:spacing w:line="480" w:lineRule="auto"/>
        <w:jc w:val="center"/>
        <w:outlineLvl w:val="0"/>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总  目  录</w:t>
      </w:r>
      <w:bookmarkEnd w:id="6"/>
    </w:p>
    <w:p w14:paraId="1E824E7D">
      <w:pPr>
        <w:pStyle w:val="50"/>
        <w:ind w:firstLine="0"/>
        <w:rPr>
          <w:color w:val="000000" w:themeColor="text1"/>
          <w:highlight w:val="none"/>
          <w14:textFill>
            <w14:solidFill>
              <w14:schemeClr w14:val="tx1"/>
            </w14:solidFill>
          </w14:textFill>
        </w:rPr>
      </w:pPr>
    </w:p>
    <w:p w14:paraId="5EB40AC0">
      <w:pPr>
        <w:pStyle w:val="34"/>
        <w:tabs>
          <w:tab w:val="right" w:leader="dot" w:pos="8732"/>
          <w:tab w:val="clear" w:pos="8720"/>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TOC \o "1-2" \h \u </w:instrText>
      </w:r>
      <w:r>
        <w:rPr>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"_Toc13791"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第一章 招标公告</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_Toc13791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p>
    <w:p w14:paraId="45A2C484">
      <w:pPr>
        <w:pStyle w:val="34"/>
        <w:tabs>
          <w:tab w:val="right" w:leader="dot" w:pos="8732"/>
          <w:tab w:val="clear" w:pos="8720"/>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"_Toc10475"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第二章 投标人须知</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_Toc10475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5</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p>
    <w:p w14:paraId="38236944">
      <w:pPr>
        <w:pStyle w:val="34"/>
        <w:tabs>
          <w:tab w:val="right" w:leader="dot" w:pos="8732"/>
          <w:tab w:val="clear" w:pos="8720"/>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"_Toc18582"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第三章 </w:t>
      </w:r>
      <w:r>
        <w:rPr>
          <w:rFonts w:hint="eastAsia"/>
          <w:color w:val="000000" w:themeColor="text1"/>
          <w:sz w:val="32"/>
          <w:szCs w:val="52"/>
          <w:highlight w:val="none"/>
          <w:lang w:val="en-US" w:eastAsia="zh-CN"/>
          <w14:textFill>
            <w14:solidFill>
              <w14:schemeClr w14:val="tx1"/>
            </w14:solidFill>
          </w14:textFill>
        </w:rPr>
        <w:t>采购</w:t>
      </w:r>
      <w:r>
        <w:rPr>
          <w:rFonts w:hint="eastAsia"/>
          <w:color w:val="000000" w:themeColor="text1"/>
          <w:sz w:val="32"/>
          <w:szCs w:val="52"/>
          <w:highlight w:val="none"/>
          <w14:textFill>
            <w14:solidFill>
              <w14:schemeClr w14:val="tx1"/>
            </w14:solidFill>
          </w14:textFill>
        </w:rPr>
        <w:t>需求</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1</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9</w:t>
      </w:r>
    </w:p>
    <w:p w14:paraId="6E5B49D9">
      <w:pPr>
        <w:pStyle w:val="34"/>
        <w:tabs>
          <w:tab w:val="right" w:leader="dot" w:pos="8732"/>
          <w:tab w:val="clear" w:pos="8720"/>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"_Toc29632"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第四章 </w:t>
      </w:r>
      <w:r>
        <w:rPr>
          <w:rFonts w:hint="eastAsia"/>
          <w:color w:val="000000" w:themeColor="text1"/>
          <w:sz w:val="32"/>
          <w:szCs w:val="52"/>
          <w:highlight w:val="none"/>
          <w14:textFill>
            <w14:solidFill>
              <w14:schemeClr w14:val="tx1"/>
            </w14:solidFill>
          </w14:textFill>
        </w:rPr>
        <w:t>评标办法及评分标准</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2</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8</w:t>
      </w:r>
    </w:p>
    <w:p w14:paraId="6167C0F9">
      <w:pPr>
        <w:pStyle w:val="34"/>
        <w:tabs>
          <w:tab w:val="right" w:leader="dot" w:pos="8732"/>
          <w:tab w:val="clear" w:pos="8720"/>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"_Toc1236"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第五章 合同主要条款</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3</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5</w:t>
      </w:r>
    </w:p>
    <w:p w14:paraId="5A810BF6">
      <w:pPr>
        <w:pStyle w:val="34"/>
        <w:tabs>
          <w:tab w:val="right" w:leader="dot" w:pos="8732"/>
          <w:tab w:val="clear" w:pos="8720"/>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"_Toc7692" </w:instrText>
      </w:r>
      <w:r>
        <w:rPr>
          <w:color w:val="000000" w:themeColor="text1"/>
          <w:highlight w:val="none"/>
          <w14:textFill>
            <w14:solidFill>
              <w14:schemeClr w14:val="tx1"/>
            </w14:solidFill>
          </w14:textFill>
        </w:rPr>
        <w:fldChar w:fldCharType="separate"/>
      </w:r>
      <w:r>
        <w:rPr>
          <w:rFonts w:hint="eastAsia"/>
          <w:color w:val="000000" w:themeColor="text1"/>
          <w:sz w:val="32"/>
          <w:szCs w:val="52"/>
          <w:highlight w:val="none"/>
          <w14:textFill>
            <w14:solidFill>
              <w14:schemeClr w14:val="tx1"/>
            </w14:solidFill>
          </w14:textFill>
        </w:rPr>
        <w:t>第六章 投标文件及格式</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4</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3</w:t>
      </w:r>
    </w:p>
    <w:p w14:paraId="2E188C08">
      <w:pPr>
        <w:pStyle w:val="2"/>
        <w:jc w:val="both"/>
        <w:rPr>
          <w:rFonts w:ascii="黑体" w:eastAsia="黑体"/>
          <w:color w:val="000000" w:themeColor="text1"/>
          <w:sz w:val="44"/>
          <w:szCs w:val="44"/>
          <w:highlight w:val="none"/>
          <w14:textFill>
            <w14:solidFill>
              <w14:schemeClr w14:val="tx1"/>
            </w14:solidFill>
          </w14:textFill>
        </w:rPr>
        <w:sectPr>
          <w:footerReference r:id="rId7" w:type="first"/>
          <w:footerReference r:id="rId6" w:type="default"/>
          <w:pgSz w:w="11906" w:h="16838" w:orient="landscape"/>
          <w:pgMar w:top="1440" w:right="1587" w:bottom="1440" w:left="1587" w:header="851" w:footer="907" w:gutter="0"/>
          <w:pgBorders>
            <w:top w:val="none" w:sz="0" w:space="0"/>
            <w:left w:val="none" w:sz="0" w:space="0"/>
            <w:bottom w:val="none" w:sz="0" w:space="0"/>
            <w:right w:val="none" w:sz="0" w:space="0"/>
          </w:pgBorders>
          <w:pgNumType w:start="0"/>
          <w:cols w:space="720" w:num="1"/>
          <w:titlePg/>
        </w:sectPr>
      </w:pPr>
      <w:r>
        <w:rPr>
          <w:color w:val="000000" w:themeColor="text1"/>
          <w:sz w:val="36"/>
          <w:szCs w:val="32"/>
          <w:highlight w:val="none"/>
          <w14:textFill>
            <w14:solidFill>
              <w14:schemeClr w14:val="tx1"/>
            </w14:solidFill>
          </w14:textFill>
        </w:rPr>
        <w:fldChar w:fldCharType="end"/>
      </w:r>
    </w:p>
    <w:p w14:paraId="67C6A27F">
      <w:pPr>
        <w:pageBreakBefore/>
        <w:spacing w:line="520" w:lineRule="exact"/>
        <w:jc w:val="center"/>
        <w:outlineLvl w:val="0"/>
        <w:rPr>
          <w:b/>
          <w:color w:val="000000" w:themeColor="text1"/>
          <w:sz w:val="44"/>
          <w:szCs w:val="44"/>
          <w:highlight w:val="none"/>
          <w14:textFill>
            <w14:solidFill>
              <w14:schemeClr w14:val="tx1"/>
            </w14:solidFill>
          </w14:textFill>
        </w:rPr>
      </w:pPr>
      <w:bookmarkStart w:id="7" w:name="_Toc13791"/>
      <w:r>
        <w:rPr>
          <w:rFonts w:hint="eastAsia"/>
          <w:b/>
          <w:color w:val="000000" w:themeColor="text1"/>
          <w:sz w:val="44"/>
          <w:szCs w:val="44"/>
          <w:highlight w:val="none"/>
          <w14:textFill>
            <w14:solidFill>
              <w14:schemeClr w14:val="tx1"/>
            </w14:solidFill>
          </w14:textFill>
        </w:rPr>
        <w:t xml:space="preserve">第一章  </w:t>
      </w:r>
      <w:bookmarkEnd w:id="0"/>
      <w:r>
        <w:rPr>
          <w:rFonts w:hint="eastAsia"/>
          <w:b/>
          <w:color w:val="000000" w:themeColor="text1"/>
          <w:sz w:val="44"/>
          <w:szCs w:val="44"/>
          <w:highlight w:val="none"/>
          <w14:textFill>
            <w14:solidFill>
              <w14:schemeClr w14:val="tx1"/>
            </w14:solidFill>
          </w14:textFill>
        </w:rPr>
        <w:t>招标公告</w:t>
      </w:r>
      <w:bookmarkEnd w:id="7"/>
    </w:p>
    <w:p w14:paraId="175FF292">
      <w:pPr>
        <w:pBdr>
          <w:top w:val="single" w:color="000000" w:sz="4" w:space="0"/>
          <w:left w:val="single" w:color="000000" w:sz="4" w:space="0"/>
          <w:bottom w:val="single" w:color="000000" w:sz="4" w:space="0"/>
          <w:right w:val="single" w:color="000000" w:sz="4" w:space="0"/>
        </w:pBdr>
        <w:spacing w:line="500" w:lineRule="exact"/>
        <w:ind w:firstLine="422"/>
        <w:rPr>
          <w:rFonts w:ascii="宋体" w:hAnsi="宋体" w:cs="宋体"/>
          <w:color w:val="000000" w:themeColor="text1"/>
          <w:highlight w:val="none"/>
          <w14:textFill>
            <w14:solidFill>
              <w14:schemeClr w14:val="tx1"/>
            </w14:solidFill>
          </w14:textFill>
        </w:rPr>
      </w:pPr>
      <w:bookmarkStart w:id="8" w:name="_Toc35393790"/>
      <w:bookmarkStart w:id="9" w:name="_Toc35393621"/>
      <w:bookmarkStart w:id="10" w:name="_Toc28359079"/>
      <w:bookmarkStart w:id="11" w:name="_Toc28359002"/>
      <w:bookmarkStart w:id="12" w:name="_Hlk24379207"/>
      <w:r>
        <w:rPr>
          <w:rFonts w:hint="eastAsia" w:ascii="宋体" w:hAnsi="宋体" w:cs="宋体"/>
          <w:b/>
          <w:bCs/>
          <w:color w:val="000000" w:themeColor="text1"/>
          <w:highlight w:val="none"/>
          <w14:textFill>
            <w14:solidFill>
              <w14:schemeClr w14:val="tx1"/>
            </w14:solidFill>
          </w14:textFill>
        </w:rPr>
        <w:t>项目概况：</w:t>
      </w:r>
      <w:r>
        <w:rPr>
          <w:rFonts w:hint="eastAsia" w:ascii="宋体" w:hAnsi="宋体" w:cs="宋体"/>
          <w:color w:val="000000" w:themeColor="text1"/>
          <w:highlight w:val="none"/>
          <w:lang w:eastAsia="zh-CN"/>
          <w14:textFill>
            <w14:solidFill>
              <w14:schemeClr w14:val="tx1"/>
            </w14:solidFill>
          </w14:textFill>
        </w:rPr>
        <w:t>盐城市大丰人民医院血液科层流病房改造及设备采购项目</w:t>
      </w:r>
      <w:r>
        <w:rPr>
          <w:rFonts w:hint="eastAsia" w:ascii="宋体" w:hAnsi="宋体" w:cs="宋体"/>
          <w:color w:val="000000" w:themeColor="text1"/>
          <w:highlight w:val="none"/>
          <w14:textFill>
            <w14:solidFill>
              <w14:schemeClr w14:val="tx1"/>
            </w14:solidFill>
          </w14:textFill>
        </w:rPr>
        <w:t>（项目编号：JSZC-320904-JSDZ-G2025-0229）的潜在投标人应在“苏采云”系统内免费下载(投标人必须在苏采云系统中获取采购文件,方能参与政府采购项目)获取招标文件,并于2025年</w:t>
      </w:r>
      <w:r>
        <w:rPr>
          <w:rFonts w:hint="eastAsia" w:ascii="宋体" w:hAnsi="宋体" w:cs="宋体"/>
          <w:color w:val="000000" w:themeColor="text1"/>
          <w:highlight w:val="none"/>
          <w:lang w:val="en-US" w:eastAsia="zh-CN"/>
          <w14:textFill>
            <w14:solidFill>
              <w14:schemeClr w14:val="tx1"/>
            </w14:solidFill>
          </w14:textFill>
        </w:rPr>
        <w:t>12</w:t>
      </w:r>
      <w:r>
        <w:rPr>
          <w:rFonts w:hint="eastAsia" w:ascii="宋体" w:hAnsi="宋体" w:cs="宋体"/>
          <w:color w:val="000000" w:themeColor="text1"/>
          <w:highlight w:val="none"/>
          <w14:textFill>
            <w14:solidFill>
              <w14:schemeClr w14:val="tx1"/>
            </w14:solidFill>
          </w14:textFill>
        </w:rPr>
        <w:t>月</w:t>
      </w:r>
      <w:r>
        <w:rPr>
          <w:rFonts w:hint="eastAsia" w:ascii="宋体" w:hAnsi="宋体" w:cs="宋体"/>
          <w:color w:val="000000" w:themeColor="text1"/>
          <w:highlight w:val="none"/>
          <w:lang w:val="en-US" w:eastAsia="zh-CN"/>
          <w14:textFill>
            <w14:solidFill>
              <w14:schemeClr w14:val="tx1"/>
            </w14:solidFill>
          </w14:textFill>
        </w:rPr>
        <w:t>22</w:t>
      </w:r>
      <w:r>
        <w:rPr>
          <w:rFonts w:hint="eastAsia" w:ascii="宋体" w:hAnsi="宋体" w:cs="宋体"/>
          <w:color w:val="000000" w:themeColor="text1"/>
          <w:highlight w:val="none"/>
          <w14:textFill>
            <w14:solidFill>
              <w14:schemeClr w14:val="tx1"/>
            </w14:solidFill>
          </w14:textFill>
        </w:rPr>
        <w:t xml:space="preserve">日 </w:t>
      </w:r>
      <w:r>
        <w:rPr>
          <w:rFonts w:hint="eastAsia" w:ascii="宋体" w:hAnsi="宋体" w:cs="宋体"/>
          <w:color w:val="000000" w:themeColor="text1"/>
          <w:highlight w:val="none"/>
          <w:lang w:val="en-US" w:eastAsia="zh-CN"/>
          <w14:textFill>
            <w14:solidFill>
              <w14:schemeClr w14:val="tx1"/>
            </w14:solidFill>
          </w14:textFill>
        </w:rPr>
        <w:t>9</w:t>
      </w:r>
      <w:r>
        <w:rPr>
          <w:rFonts w:hint="eastAsia" w:ascii="宋体" w:hAnsi="宋体" w:cs="宋体"/>
          <w:color w:val="000000" w:themeColor="text1"/>
          <w:highlight w:val="none"/>
          <w14:textFill>
            <w14:solidFill>
              <w14:schemeClr w14:val="tx1"/>
            </w14:solidFill>
          </w14:textFill>
        </w:rPr>
        <w:t>:00:00(北京时间)前递交投标文件。</w:t>
      </w:r>
    </w:p>
    <w:p w14:paraId="7E90ACB5">
      <w:pPr>
        <w:spacing w:line="50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一、项目基本情况</w:t>
      </w:r>
      <w:bookmarkEnd w:id="8"/>
      <w:bookmarkEnd w:id="9"/>
      <w:bookmarkEnd w:id="10"/>
      <w:bookmarkEnd w:id="11"/>
      <w:bookmarkEnd w:id="12"/>
    </w:p>
    <w:p w14:paraId="388F8FEA">
      <w:pPr>
        <w:spacing w:line="500" w:lineRule="exact"/>
        <w:ind w:firstLine="420"/>
        <w:rPr>
          <w:rFonts w:ascii="宋体" w:hAnsi="宋体" w:cs="宋体"/>
          <w:color w:val="000000" w:themeColor="text1"/>
          <w:highlight w:val="none"/>
          <w14:textFill>
            <w14:solidFill>
              <w14:schemeClr w14:val="tx1"/>
            </w14:solidFill>
          </w14:textFill>
        </w:rPr>
      </w:pPr>
      <w:bookmarkStart w:id="13" w:name="_Toc28359080"/>
      <w:bookmarkStart w:id="14" w:name="_Toc18588"/>
      <w:bookmarkStart w:id="15" w:name="_Toc35393622"/>
      <w:bookmarkStart w:id="16" w:name="_Toc35393791"/>
      <w:bookmarkStart w:id="17" w:name="_Toc28359003"/>
      <w:bookmarkStart w:id="18" w:name="_Toc35393624"/>
      <w:bookmarkStart w:id="19" w:name="_Toc35393793"/>
      <w:bookmarkStart w:id="20" w:name="_Toc28359005"/>
      <w:bookmarkStart w:id="21" w:name="_Toc28359082"/>
      <w:r>
        <w:rPr>
          <w:rFonts w:hint="eastAsia" w:ascii="宋体" w:hAnsi="宋体" w:cs="宋体"/>
          <w:color w:val="000000" w:themeColor="text1"/>
          <w:highlight w:val="none"/>
          <w14:textFill>
            <w14:solidFill>
              <w14:schemeClr w14:val="tx1"/>
            </w14:solidFill>
          </w14:textFill>
        </w:rPr>
        <w:t xml:space="preserve">项目编号：JSZC-320904-JSDZ-G2025-0229 </w:t>
      </w:r>
    </w:p>
    <w:p w14:paraId="3A617362">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r>
        <w:rPr>
          <w:rFonts w:hint="eastAsia" w:ascii="宋体" w:hAnsi="宋体" w:cs="宋体"/>
          <w:color w:val="000000" w:themeColor="text1"/>
          <w:highlight w:val="none"/>
          <w:lang w:eastAsia="zh-CN"/>
          <w14:textFill>
            <w14:solidFill>
              <w14:schemeClr w14:val="tx1"/>
            </w14:solidFill>
          </w14:textFill>
        </w:rPr>
        <w:t>盐城市大丰人民医院血液科层流病房改造及设备采购项目</w:t>
      </w:r>
      <w:r>
        <w:rPr>
          <w:rFonts w:hint="eastAsia" w:ascii="宋体" w:hAnsi="宋体" w:cs="宋体"/>
          <w:color w:val="000000" w:themeColor="text1"/>
          <w:highlight w:val="none"/>
          <w14:textFill>
            <w14:solidFill>
              <w14:schemeClr w14:val="tx1"/>
            </w14:solidFill>
          </w14:textFill>
        </w:rPr>
        <w:t>；</w:t>
      </w:r>
    </w:p>
    <w:p w14:paraId="6A0A0B2D">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预算金额：</w:t>
      </w:r>
      <w:r>
        <w:rPr>
          <w:rFonts w:hint="eastAsia" w:ascii="宋体" w:hAnsi="宋体" w:cs="宋体"/>
          <w:color w:val="000000" w:themeColor="text1"/>
          <w:highlight w:val="none"/>
          <w:lang w:val="en-US" w:eastAsia="zh-CN"/>
          <w14:textFill>
            <w14:solidFill>
              <w14:schemeClr w14:val="tx1"/>
            </w14:solidFill>
          </w14:textFill>
        </w:rPr>
        <w:t>82万元</w:t>
      </w:r>
      <w:r>
        <w:rPr>
          <w:rFonts w:hint="eastAsia" w:ascii="宋体" w:hAnsi="宋体" w:cs="宋体"/>
          <w:color w:val="000000" w:themeColor="text1"/>
          <w:highlight w:val="none"/>
          <w14:textFill>
            <w14:solidFill>
              <w14:schemeClr w14:val="tx1"/>
            </w14:solidFill>
          </w14:textFill>
        </w:rPr>
        <w:t>；</w:t>
      </w:r>
    </w:p>
    <w:p w14:paraId="2B40E740">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最高限价：</w:t>
      </w:r>
      <w:r>
        <w:rPr>
          <w:rFonts w:hint="eastAsia" w:ascii="宋体" w:hAnsi="宋体" w:cs="宋体"/>
          <w:color w:val="000000" w:themeColor="text1"/>
          <w:highlight w:val="none"/>
          <w:lang w:val="en-US" w:eastAsia="zh-CN"/>
          <w14:textFill>
            <w14:solidFill>
              <w14:schemeClr w14:val="tx1"/>
            </w14:solidFill>
          </w14:textFill>
        </w:rPr>
        <w:t>82万元</w:t>
      </w:r>
      <w:r>
        <w:rPr>
          <w:rFonts w:hint="eastAsia" w:ascii="宋体" w:hAnsi="宋体" w:cs="宋体"/>
          <w:color w:val="000000" w:themeColor="text1"/>
          <w:highlight w:val="none"/>
          <w14:textFill>
            <w14:solidFill>
              <w14:schemeClr w14:val="tx1"/>
            </w14:solidFill>
          </w14:textFill>
        </w:rPr>
        <w:t>，投标报价高于最高限价的作无效标处理；</w:t>
      </w:r>
    </w:p>
    <w:p w14:paraId="4E53F24C">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采购需求：</w:t>
      </w:r>
      <w:r>
        <w:rPr>
          <w:rFonts w:hint="eastAsia" w:ascii="宋体" w:hAnsi="宋体" w:cs="宋体"/>
          <w:color w:val="000000" w:themeColor="text1"/>
          <w:highlight w:val="none"/>
          <w:lang w:eastAsia="zh-CN"/>
          <w14:textFill>
            <w14:solidFill>
              <w14:schemeClr w14:val="tx1"/>
            </w14:solidFill>
          </w14:textFill>
        </w:rPr>
        <w:t>盐城市大丰人民医院血液科层流病房改造及设备采购项目</w:t>
      </w:r>
      <w:r>
        <w:rPr>
          <w:rFonts w:ascii="宋体" w:hAnsi="宋体" w:cs="宋体"/>
          <w:color w:val="000000" w:themeColor="text1"/>
          <w:highlight w:val="none"/>
          <w14:textFill>
            <w14:solidFill>
              <w14:schemeClr w14:val="tx1"/>
            </w14:solidFill>
          </w14:textFill>
        </w:rPr>
        <w:t>,具体详见本项目</w:t>
      </w:r>
      <w:r>
        <w:rPr>
          <w:rFonts w:hint="eastAsia" w:ascii="宋体" w:hAnsi="宋体" w:cs="宋体"/>
          <w:color w:val="000000" w:themeColor="text1"/>
          <w:highlight w:val="none"/>
          <w14:textFill>
            <w14:solidFill>
              <w14:schemeClr w14:val="tx1"/>
            </w14:solidFill>
          </w14:textFill>
        </w:rPr>
        <w:t>招标文件采购需求；</w:t>
      </w:r>
    </w:p>
    <w:p w14:paraId="625BBBCA">
      <w:pPr>
        <w:spacing w:line="500" w:lineRule="exact"/>
        <w:ind w:firstLine="42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合同履行期限：签订合同后 </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0 日历天内完成所需设备的采购、供应、运输、安装、调试等相关伴随服务，并通过采购人的验收</w:t>
      </w:r>
      <w:r>
        <w:rPr>
          <w:rFonts w:hint="eastAsia" w:ascii="宋体" w:hAnsi="宋体" w:cs="宋体"/>
          <w:color w:val="000000" w:themeColor="text1"/>
          <w:highlight w:val="none"/>
          <w:lang w:eastAsia="zh-CN"/>
          <w14:textFill>
            <w14:solidFill>
              <w14:schemeClr w14:val="tx1"/>
            </w14:solidFill>
          </w14:textFill>
        </w:rPr>
        <w:t>；</w:t>
      </w:r>
    </w:p>
    <w:p w14:paraId="310D5A8F">
      <w:pPr>
        <w:spacing w:line="500" w:lineRule="exact"/>
        <w:ind w:firstLine="420"/>
        <w:rPr>
          <w:rFonts w:hint="eastAsia" w:ascii="宋体" w:hAnsi="宋体" w:eastAsia="宋体" w:cs="宋体"/>
          <w:color w:val="000000" w:themeColor="text1"/>
          <w:highlight w:val="none"/>
          <w:lang w:eastAsia="zh-CN"/>
          <w14:textFill>
            <w14:solidFill>
              <w14:schemeClr w14:val="tx1"/>
            </w14:solidFill>
          </w14:textFill>
        </w:rPr>
      </w:pPr>
      <w:bookmarkStart w:id="22" w:name="OLE_LINK15"/>
      <w:r>
        <w:rPr>
          <w:rFonts w:hint="eastAsia" w:ascii="宋体" w:hAnsi="宋体" w:cs="宋体"/>
          <w:color w:val="000000" w:themeColor="text1"/>
          <w:highlight w:val="none"/>
          <w14:textFill>
            <w14:solidFill>
              <w14:schemeClr w14:val="tx1"/>
            </w14:solidFill>
          </w14:textFill>
        </w:rPr>
        <w:t>质保期：不少于三年</w:t>
      </w:r>
      <w:bookmarkEnd w:id="22"/>
      <w:r>
        <w:rPr>
          <w:rFonts w:hint="eastAsia" w:ascii="宋体" w:hAnsi="宋体" w:cs="宋体"/>
          <w:color w:val="000000" w:themeColor="text1"/>
          <w:highlight w:val="none"/>
          <w14:textFill>
            <w14:solidFill>
              <w14:schemeClr w14:val="tx1"/>
            </w14:solidFill>
          </w14:textFill>
        </w:rPr>
        <w:t>（含设备免费维护保养）</w:t>
      </w:r>
      <w:r>
        <w:rPr>
          <w:rFonts w:hint="eastAsia" w:ascii="宋体" w:hAnsi="宋体" w:cs="宋体"/>
          <w:color w:val="000000" w:themeColor="text1"/>
          <w:highlight w:val="none"/>
          <w:lang w:eastAsia="zh-CN"/>
          <w14:textFill>
            <w14:solidFill>
              <w14:schemeClr w14:val="tx1"/>
            </w14:solidFill>
          </w14:textFill>
        </w:rPr>
        <w:t>。</w:t>
      </w:r>
    </w:p>
    <w:p w14:paraId="1224AE3E">
      <w:pPr>
        <w:spacing w:line="500" w:lineRule="exact"/>
        <w:ind w:firstLine="42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本项目不接受联合体投标。</w:t>
      </w:r>
    </w:p>
    <w:p w14:paraId="443F7D7F">
      <w:pPr>
        <w:pStyle w:val="2"/>
        <w:tabs>
          <w:tab w:val="left" w:pos="0"/>
          <w:tab w:val="left" w:pos="3165"/>
          <w:tab w:val="center" w:pos="4153"/>
        </w:tabs>
        <w:spacing w:line="500" w:lineRule="exact"/>
        <w:ind w:firstLine="482"/>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二、申请人的资格要求：</w:t>
      </w:r>
      <w:bookmarkEnd w:id="13"/>
      <w:bookmarkEnd w:id="14"/>
      <w:bookmarkEnd w:id="15"/>
      <w:bookmarkEnd w:id="16"/>
      <w:bookmarkEnd w:id="17"/>
    </w:p>
    <w:p w14:paraId="068F9828">
      <w:pPr>
        <w:spacing w:line="500" w:lineRule="exact"/>
        <w:ind w:firstLine="420"/>
        <w:rPr>
          <w:rFonts w:ascii="宋体" w:hAnsi="宋体" w:cs="宋体"/>
          <w:color w:val="000000" w:themeColor="text1"/>
          <w:highlight w:val="none"/>
          <w14:textFill>
            <w14:solidFill>
              <w14:schemeClr w14:val="tx1"/>
            </w14:solidFill>
          </w14:textFill>
        </w:rPr>
      </w:pPr>
      <w:bookmarkStart w:id="23" w:name="_Toc28359081"/>
      <w:bookmarkStart w:id="24" w:name="_Toc28359004"/>
      <w:bookmarkStart w:id="25" w:name="_Toc35393623"/>
      <w:bookmarkStart w:id="26" w:name="_Toc35393792"/>
      <w:bookmarkStart w:id="27" w:name="_Toc16165"/>
      <w:r>
        <w:rPr>
          <w:rFonts w:hint="eastAsia" w:ascii="宋体" w:hAnsi="宋体" w:cs="宋体"/>
          <w:color w:val="000000" w:themeColor="text1"/>
          <w:highlight w:val="none"/>
          <w14:textFill>
            <w14:solidFill>
              <w14:schemeClr w14:val="tx1"/>
            </w14:solidFill>
          </w14:textFill>
        </w:rPr>
        <w:t>（一）满足《中华人民共和国政府采购法》第二十二条规定：</w:t>
      </w:r>
    </w:p>
    <w:p w14:paraId="1BAE8F8D">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1.法人或者其他组织的营业执照等证明文件，自然人的身份证明。</w:t>
      </w:r>
    </w:p>
    <w:p w14:paraId="44B83E71">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2.上一年度的财务状况报告（至少提供资产负债表、利润表、现金流量表，投标人成立不满一年无需提供）。</w:t>
      </w:r>
    </w:p>
    <w:p w14:paraId="66138EBB">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622FAF34">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4.具备履行合同所必需的设备和专业技术能力的书面声明。</w:t>
      </w:r>
    </w:p>
    <w:p w14:paraId="77398E1D">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5.参加政府采购活动前3年内在经营活动中没有重大违法记录的书面声明。</w:t>
      </w:r>
    </w:p>
    <w:p w14:paraId="075A6F4B">
      <w:pPr>
        <w:spacing w:line="500" w:lineRule="exact"/>
        <w:ind w:firstLine="42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（二）落实政府采购政策需满足的资格要求：无 。</w:t>
      </w:r>
    </w:p>
    <w:p w14:paraId="0A361207">
      <w:pPr>
        <w:spacing w:line="500" w:lineRule="exac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三</w:t>
      </w:r>
      <w:r>
        <w:rPr>
          <w:rFonts w:hint="eastAsia" w:ascii="宋体" w:hAnsi="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本项目的特定资格要求：</w:t>
      </w:r>
      <w:bookmarkEnd w:id="23"/>
      <w:bookmarkEnd w:id="24"/>
    </w:p>
    <w:p w14:paraId="5AD3E785">
      <w:pPr>
        <w:spacing w:line="500" w:lineRule="exac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F7DB19E">
      <w:pPr>
        <w:spacing w:line="500" w:lineRule="exac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（2）单位负责人为同一人或者存在直接控股、管理关系的不同供应商，不得参加同一合同项下的政府采购活动。</w:t>
      </w:r>
    </w:p>
    <w:p w14:paraId="7CCB6995">
      <w:pPr>
        <w:spacing w:line="500" w:lineRule="exac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（3）根据国家相关政策规定，属于医疗器械监督管理的设备，需具备以下特定资格：</w:t>
      </w:r>
    </w:p>
    <w:p w14:paraId="7A38D2D7">
      <w:pPr>
        <w:spacing w:line="500" w:lineRule="exac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1)投标人须提供有效的医疗器械产品注册证或产品备案凭证，投标时需提供扫描件加盖公章；</w:t>
      </w:r>
    </w:p>
    <w:p w14:paraId="451D001F">
      <w:pPr>
        <w:spacing w:line="500" w:lineRule="exac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2)若投标供应商为代理商，须根据投标产品的类别，提供投标人有效的《医疗器械经营许可证》或医疗器械经营备案凭证，投标时需提供扫描件加盖公章；</w:t>
      </w:r>
    </w:p>
    <w:p w14:paraId="6CCE8412">
      <w:pPr>
        <w:spacing w:line="500" w:lineRule="exact"/>
        <w:ind w:firstLine="420"/>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3)若投标供应商为生产商，须具有有效的《医疗器械生产许可证》或生产备案凭证（医疗器械生产许可证如有医疗器械生产产品登记表的须一并提供），投标时需提供扫描件加盖公章</w:t>
      </w:r>
      <w:r>
        <w:rPr>
          <w:rFonts w:hint="eastAsia" w:ascii="宋体" w:hAnsi="宋体" w:cs="宋体"/>
          <w:color w:val="000000" w:themeColor="text1"/>
          <w:highlight w:val="none"/>
          <w:lang w:eastAsia="zh-CN"/>
          <w14:textFill>
            <w14:solidFill>
              <w14:schemeClr w14:val="tx1"/>
            </w14:solidFill>
          </w14:textFill>
        </w:rPr>
        <w:t>。</w:t>
      </w:r>
    </w:p>
    <w:p w14:paraId="7153DB14">
      <w:pPr>
        <w:pStyle w:val="2"/>
        <w:tabs>
          <w:tab w:val="left" w:pos="0"/>
          <w:tab w:val="left" w:pos="3165"/>
          <w:tab w:val="center" w:pos="4153"/>
        </w:tabs>
        <w:spacing w:line="500" w:lineRule="exact"/>
        <w:ind w:firstLine="482"/>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三、获取招标文件</w:t>
      </w:r>
      <w:bookmarkEnd w:id="25"/>
      <w:bookmarkEnd w:id="26"/>
      <w:bookmarkEnd w:id="27"/>
    </w:p>
    <w:p w14:paraId="628867C2">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时间：自招标文件公告发布之日起5个工作日。 </w:t>
      </w:r>
    </w:p>
    <w:p w14:paraId="65B1C254">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地点：“苏采云”系统内免费下载（投标人必须在苏采云系统中获取采购文件，方能参与政府采购项目）</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 xml:space="preserve">  </w:t>
      </w:r>
    </w:p>
    <w:p w14:paraId="11D30BA2">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方式：网上注册登记成功后“苏采云”系统内免费下载。</w:t>
      </w:r>
    </w:p>
    <w:p w14:paraId="4176683C">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6A0190EA">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潜在投标人访问“苏采云”系统方法：江苏省政府采购网首页-“苏采云”链接。 </w:t>
      </w:r>
    </w:p>
    <w:p w14:paraId="2163F752">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p>
    <w:p w14:paraId="63EB5747">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 采购文件（后缀名为“.kedt”）、供应商操作手册及政府采购客户端工具可通过“苏采云”系统相应链接进行下载。 </w:t>
      </w:r>
    </w:p>
    <w:p w14:paraId="397AB8D0">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招标代理机构（采购代理机构）将数据电文形式的采购文件加载至“苏采云”系统，供潜在供应商下载或者查阅。 </w:t>
      </w:r>
    </w:p>
    <w:p w14:paraId="5CA0E918">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3.6 请潜在投标单位提前安装相应的控件（详见《“苏采云”系统供应商操作手册》）并使用谷歌浏览器登录“苏采云”系统参与不见面开评标。如潜在投标人未按上述要求操作，将自行承担所产生的风险。 </w:t>
      </w:r>
    </w:p>
    <w:p w14:paraId="64D12E70">
      <w:pPr>
        <w:spacing w:line="5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售价：0元</w:t>
      </w:r>
    </w:p>
    <w:p w14:paraId="0E59720F">
      <w:pPr>
        <w:pStyle w:val="3"/>
        <w:keepNext w:val="0"/>
        <w:keepLines w:val="0"/>
        <w:widowControl/>
        <w:spacing w:before="0" w:after="0" w:line="440" w:lineRule="exact"/>
        <w:ind w:firstLine="482"/>
        <w:jc w:val="left"/>
        <w:rPr>
          <w:rFonts w:ascii="宋体" w:hAnsi="宋体" w:eastAsia="宋体" w:cs="宋体"/>
          <w:color w:val="000000" w:themeColor="text1"/>
          <w:sz w:val="24"/>
          <w:szCs w:val="24"/>
          <w:highlight w:val="none"/>
          <w14:textFill>
            <w14:solidFill>
              <w14:schemeClr w14:val="tx1"/>
            </w14:solidFill>
          </w14:textFill>
        </w:rPr>
      </w:pPr>
      <w:bookmarkStart w:id="28" w:name="_Toc22271"/>
      <w:r>
        <w:rPr>
          <w:rStyle w:val="55"/>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四、提交投标文件截止时间、开标时间和地点</w:t>
      </w:r>
      <w:bookmarkEnd w:id="28"/>
    </w:p>
    <w:p w14:paraId="6BDBC71F">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2025年</w:t>
      </w:r>
      <w:r>
        <w:rPr>
          <w:rFonts w:hint="eastAsia" w:ascii="宋体" w:hAnsi="宋体" w:cs="宋体"/>
          <w:color w:val="000000" w:themeColor="text1"/>
          <w:highlight w:val="none"/>
          <w:lang w:val="en-US" w:eastAsia="zh-CN"/>
          <w14:textFill>
            <w14:solidFill>
              <w14:schemeClr w14:val="tx1"/>
            </w14:solidFill>
          </w14:textFill>
        </w:rPr>
        <w:t>12</w:t>
      </w:r>
      <w:r>
        <w:rPr>
          <w:rFonts w:hint="eastAsia" w:ascii="宋体" w:hAnsi="宋体" w:cs="宋体"/>
          <w:color w:val="000000" w:themeColor="text1"/>
          <w:highlight w:val="none"/>
          <w14:textFill>
            <w14:solidFill>
              <w14:schemeClr w14:val="tx1"/>
            </w14:solidFill>
          </w14:textFill>
        </w:rPr>
        <w:t>月</w:t>
      </w:r>
      <w:r>
        <w:rPr>
          <w:rFonts w:hint="eastAsia" w:ascii="宋体" w:hAnsi="宋体" w:cs="宋体"/>
          <w:color w:val="000000" w:themeColor="text1"/>
          <w:highlight w:val="none"/>
          <w:lang w:val="en-US" w:eastAsia="zh-CN"/>
          <w14:textFill>
            <w14:solidFill>
              <w14:schemeClr w14:val="tx1"/>
            </w14:solidFill>
          </w14:textFill>
        </w:rPr>
        <w:t>22</w:t>
      </w:r>
      <w:r>
        <w:rPr>
          <w:rFonts w:hint="eastAsia" w:ascii="宋体" w:hAnsi="宋体" w:cs="宋体"/>
          <w:color w:val="000000" w:themeColor="text1"/>
          <w:highlight w:val="none"/>
          <w14:textFill>
            <w14:solidFill>
              <w14:schemeClr w14:val="tx1"/>
            </w14:solidFill>
          </w14:textFill>
        </w:rPr>
        <w:t>日</w:t>
      </w:r>
      <w:r>
        <w:rPr>
          <w:rFonts w:hint="eastAsia" w:ascii="宋体" w:hAnsi="宋体" w:cs="宋体"/>
          <w:color w:val="000000" w:themeColor="text1"/>
          <w:highlight w:val="none"/>
          <w:lang w:val="en-US" w:eastAsia="zh-CN"/>
          <w14:textFill>
            <w14:solidFill>
              <w14:schemeClr w14:val="tx1"/>
            </w14:solidFill>
          </w14:textFill>
        </w:rPr>
        <w:t>9</w:t>
      </w:r>
      <w:r>
        <w:rPr>
          <w:rFonts w:hint="eastAsia" w:ascii="宋体" w:hAnsi="宋体" w:cs="宋体"/>
          <w:color w:val="000000" w:themeColor="text1"/>
          <w:highlight w:val="none"/>
          <w14:textFill>
            <w14:solidFill>
              <w14:schemeClr w14:val="tx1"/>
            </w14:solidFill>
          </w14:textFill>
        </w:rPr>
        <w:t>时00分（北京时间）</w:t>
      </w:r>
    </w:p>
    <w:p w14:paraId="7B27F863">
      <w:pPr>
        <w:spacing w:line="50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地点：“苏采云”系统（网址：http://jszfcg.jsczt.cn/）“开标大厅”。 </w:t>
      </w:r>
    </w:p>
    <w:p w14:paraId="0749F21D">
      <w:pPr>
        <w:pStyle w:val="3"/>
        <w:keepNext w:val="0"/>
        <w:keepLines w:val="0"/>
        <w:widowControl/>
        <w:shd w:val="clear" w:color="auto" w:fill="FFFFFF"/>
        <w:spacing w:before="0" w:after="0" w:line="440" w:lineRule="exact"/>
        <w:ind w:firstLine="482"/>
        <w:jc w:val="left"/>
        <w:rPr>
          <w:rFonts w:ascii="宋体" w:hAnsi="宋体" w:eastAsia="宋体" w:cs="宋体"/>
          <w:color w:val="000000" w:themeColor="text1"/>
          <w:sz w:val="24"/>
          <w:szCs w:val="24"/>
          <w:highlight w:val="none"/>
          <w14:textFill>
            <w14:solidFill>
              <w14:schemeClr w14:val="tx1"/>
            </w14:solidFill>
          </w14:textFill>
        </w:rPr>
      </w:pPr>
      <w:bookmarkStart w:id="29" w:name="_Toc17920"/>
      <w:r>
        <w:rPr>
          <w:rStyle w:val="55"/>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五、公告期限</w:t>
      </w:r>
      <w:bookmarkEnd w:id="29"/>
    </w:p>
    <w:p w14:paraId="2CCF5CE6">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自本公告发布之日起5个工作日。</w:t>
      </w:r>
    </w:p>
    <w:p w14:paraId="3E6AFA42">
      <w:pPr>
        <w:pStyle w:val="19"/>
        <w:spacing w:line="400" w:lineRule="exact"/>
        <w:ind w:firstLine="482"/>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六、评标办法</w:t>
      </w:r>
    </w:p>
    <w:p w14:paraId="5C25EC64">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本项目评标办法为</w:t>
      </w:r>
      <w:r>
        <w:rPr>
          <w:rFonts w:hint="eastAsia"/>
          <w:color w:val="000000" w:themeColor="text1"/>
          <w:sz w:val="21"/>
          <w:szCs w:val="21"/>
          <w:highlight w:val="none"/>
          <w14:textFill>
            <w14:solidFill>
              <w14:schemeClr w14:val="tx1"/>
            </w14:solidFill>
          </w14:textFill>
        </w:rPr>
        <w:t>综合评分法</w:t>
      </w:r>
      <w:r>
        <w:rPr>
          <w:color w:val="000000" w:themeColor="text1"/>
          <w:sz w:val="21"/>
          <w:szCs w:val="21"/>
          <w:highlight w:val="none"/>
          <w14:textFill>
            <w14:solidFill>
              <w14:schemeClr w14:val="tx1"/>
            </w14:solidFill>
          </w14:textFill>
        </w:rPr>
        <w:t>，详见本项目招标文件第</w:t>
      </w:r>
      <w:r>
        <w:rPr>
          <w:rFonts w:hint="eastAsia"/>
          <w:color w:val="000000" w:themeColor="text1"/>
          <w:sz w:val="21"/>
          <w:szCs w:val="21"/>
          <w:highlight w:val="none"/>
          <w:lang w:val="en-US" w:eastAsia="zh-CN"/>
          <w14:textFill>
            <w14:solidFill>
              <w14:schemeClr w14:val="tx1"/>
            </w14:solidFill>
          </w14:textFill>
        </w:rPr>
        <w:t>四</w:t>
      </w:r>
      <w:r>
        <w:rPr>
          <w:color w:val="000000" w:themeColor="text1"/>
          <w:sz w:val="21"/>
          <w:szCs w:val="21"/>
          <w:highlight w:val="none"/>
          <w14:textFill>
            <w14:solidFill>
              <w14:schemeClr w14:val="tx1"/>
            </w14:solidFill>
          </w14:textFill>
        </w:rPr>
        <w:t>章。</w:t>
      </w:r>
    </w:p>
    <w:p w14:paraId="05E6ABEA">
      <w:pPr>
        <w:pStyle w:val="3"/>
        <w:keepNext w:val="0"/>
        <w:keepLines w:val="0"/>
        <w:widowControl/>
        <w:spacing w:before="0" w:after="0" w:line="440" w:lineRule="exact"/>
        <w:ind w:firstLine="482"/>
        <w:jc w:val="left"/>
        <w:rPr>
          <w:rFonts w:ascii="宋体" w:hAnsi="宋体" w:eastAsia="宋体" w:cs="宋体"/>
          <w:color w:val="000000" w:themeColor="text1"/>
          <w:sz w:val="24"/>
          <w:szCs w:val="24"/>
          <w:highlight w:val="none"/>
          <w14:textFill>
            <w14:solidFill>
              <w14:schemeClr w14:val="tx1"/>
            </w14:solidFill>
          </w14:textFill>
        </w:rPr>
      </w:pPr>
      <w:bookmarkStart w:id="30" w:name="_Toc6784"/>
      <w:r>
        <w:rPr>
          <w:rStyle w:val="55"/>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七、其他补充事宜</w:t>
      </w:r>
      <w:bookmarkEnd w:id="30"/>
    </w:p>
    <w:p w14:paraId="290E768C">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1、电子投标文件一份(通过系统提交)；纸质投标文件正本一份，副本</w:t>
      </w:r>
      <w:r>
        <w:rPr>
          <w:rFonts w:hint="eastAsia"/>
          <w:color w:val="000000" w:themeColor="text1"/>
          <w:sz w:val="21"/>
          <w:szCs w:val="21"/>
          <w:highlight w:val="none"/>
          <w:lang w:val="en-US" w:eastAsia="zh-CN"/>
          <w14:textFill>
            <w14:solidFill>
              <w14:schemeClr w14:val="tx1"/>
            </w14:solidFill>
          </w14:textFill>
        </w:rPr>
        <w:t>三</w:t>
      </w:r>
      <w:r>
        <w:rPr>
          <w:rFonts w:hint="eastAsia"/>
          <w:color w:val="000000" w:themeColor="text1"/>
          <w:sz w:val="21"/>
          <w:szCs w:val="21"/>
          <w:highlight w:val="none"/>
          <w14:textFill>
            <w14:solidFill>
              <w14:schemeClr w14:val="tx1"/>
            </w14:solidFill>
          </w14:textFill>
        </w:rPr>
        <w:t>份（评审结束后由中标候选人邮寄至采购人，未中标单位不需要提供）。</w:t>
      </w:r>
    </w:p>
    <w:p w14:paraId="22D78168">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24119689">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60809F53">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3、有关本次招标的事项若存在变动或修改，敬请及时关注采购人在“中国政府采购网”“江苏政府采购网”、“盐城市政府采购网”发布的更正公告。</w:t>
      </w:r>
    </w:p>
    <w:p w14:paraId="79236390">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4、本项目不收取投标保证金，不收取质量保证金。</w:t>
      </w:r>
    </w:p>
    <w:p w14:paraId="25ACD733">
      <w:pPr>
        <w:spacing w:line="50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p>
    <w:p w14:paraId="493D6F82">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1.采购人信息</w:t>
      </w:r>
    </w:p>
    <w:p w14:paraId="030AE086">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名    称：盐城市大丰人民医院</w:t>
      </w:r>
    </w:p>
    <w:p w14:paraId="27A92056">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地    址：盐城市大丰区幸福东大街139号</w:t>
      </w:r>
    </w:p>
    <w:p w14:paraId="47F9718B">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联 系 人：钱海涛</w:t>
      </w:r>
    </w:p>
    <w:p w14:paraId="6CC48EB0">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联系电话：0515-83530067</w:t>
      </w:r>
    </w:p>
    <w:p w14:paraId="5B9C0112">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2.采购代理机构信息</w:t>
      </w:r>
    </w:p>
    <w:p w14:paraId="783A6EE6">
      <w:pPr>
        <w:pStyle w:val="46"/>
        <w:shd w:val="clear" w:color="auto" w:fill="FFFFFF"/>
        <w:spacing w:before="0" w:beforeAutospacing="0" w:after="0" w:afterAutospacing="0" w:line="440" w:lineRule="exact"/>
        <w:ind w:firstLine="480"/>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名    称：</w:t>
      </w:r>
      <w:r>
        <w:rPr>
          <w:rFonts w:hint="eastAsia"/>
          <w:color w:val="000000" w:themeColor="text1"/>
          <w:sz w:val="21"/>
          <w:szCs w:val="21"/>
          <w:highlight w:val="none"/>
          <w:lang w:eastAsia="zh-CN"/>
          <w14:textFill>
            <w14:solidFill>
              <w14:schemeClr w14:val="tx1"/>
            </w14:solidFill>
          </w14:textFill>
        </w:rPr>
        <w:t>大洲设计咨询集团有限公司</w:t>
      </w:r>
    </w:p>
    <w:p w14:paraId="13187B1D">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地　　址：大丰区五一北路6号（锦和科技大厦8楼）</w:t>
      </w:r>
    </w:p>
    <w:p w14:paraId="7C05505F">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联 系 人：</w:t>
      </w:r>
      <w:r>
        <w:rPr>
          <w:rFonts w:hint="eastAsia"/>
          <w:color w:val="000000" w:themeColor="text1"/>
          <w:sz w:val="21"/>
          <w:szCs w:val="21"/>
          <w:highlight w:val="none"/>
          <w:lang w:eastAsia="zh-CN"/>
          <w14:textFill>
            <w14:solidFill>
              <w14:schemeClr w14:val="tx1"/>
            </w14:solidFill>
          </w14:textFill>
        </w:rPr>
        <w:t>安琪</w:t>
      </w:r>
      <w:r>
        <w:rPr>
          <w:rFonts w:hint="eastAsia"/>
          <w:color w:val="000000" w:themeColor="text1"/>
          <w:sz w:val="21"/>
          <w:szCs w:val="21"/>
          <w:highlight w:val="none"/>
          <w14:textFill>
            <w14:solidFill>
              <w14:schemeClr w14:val="tx1"/>
            </w14:solidFill>
          </w14:textFill>
        </w:rPr>
        <w:t xml:space="preserve">                       </w:t>
      </w:r>
    </w:p>
    <w:p w14:paraId="68848722">
      <w:pPr>
        <w:pStyle w:val="46"/>
        <w:shd w:val="clear" w:color="auto" w:fill="FFFFFF"/>
        <w:spacing w:before="0" w:beforeAutospacing="0" w:after="0" w:afterAutospacing="0" w:line="440" w:lineRule="exact"/>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联系电话：</w:t>
      </w:r>
      <w:r>
        <w:rPr>
          <w:rFonts w:hint="eastAsia"/>
          <w:color w:val="000000" w:themeColor="text1"/>
          <w:sz w:val="21"/>
          <w:szCs w:val="21"/>
          <w:highlight w:val="none"/>
          <w:lang w:val="en-US" w:eastAsia="zh-CN"/>
          <w14:textFill>
            <w14:solidFill>
              <w14:schemeClr w14:val="tx1"/>
            </w14:solidFill>
          </w14:textFill>
        </w:rPr>
        <w:t>15862071581</w:t>
      </w:r>
      <w:r>
        <w:rPr>
          <w:rFonts w:hint="eastAsia"/>
          <w:color w:val="000000" w:themeColor="text1"/>
          <w:sz w:val="21"/>
          <w:szCs w:val="21"/>
          <w:highlight w:val="none"/>
          <w14:textFill>
            <w14:solidFill>
              <w14:schemeClr w14:val="tx1"/>
            </w14:solidFill>
          </w14:textFill>
        </w:rPr>
        <w:tab/>
      </w:r>
      <w:r>
        <w:rPr>
          <w:rFonts w:hint="eastAsia"/>
          <w:color w:val="000000" w:themeColor="text1"/>
          <w:sz w:val="21"/>
          <w:szCs w:val="21"/>
          <w:highlight w:val="none"/>
          <w14:textFill>
            <w14:solidFill>
              <w14:schemeClr w14:val="tx1"/>
            </w14:solidFill>
          </w14:textFill>
        </w:rPr>
        <w:t xml:space="preserve"> 　 </w:t>
      </w:r>
      <w:bookmarkEnd w:id="1"/>
      <w:bookmarkEnd w:id="2"/>
      <w:bookmarkEnd w:id="3"/>
      <w:bookmarkEnd w:id="4"/>
      <w:bookmarkEnd w:id="5"/>
      <w:bookmarkEnd w:id="18"/>
      <w:bookmarkEnd w:id="19"/>
      <w:bookmarkEnd w:id="20"/>
      <w:bookmarkEnd w:id="21"/>
    </w:p>
    <w:p w14:paraId="095DCDE5">
      <w:pPr>
        <w:pStyle w:val="243"/>
        <w:rPr>
          <w:rFonts w:ascii="仿宋" w:hAnsi="仿宋" w:eastAsia="仿宋"/>
          <w:color w:val="000000" w:themeColor="text1"/>
          <w:sz w:val="28"/>
          <w:szCs w:val="28"/>
          <w:highlight w:val="none"/>
          <w:lang w:eastAsia="zh-CN"/>
          <w14:textFill>
            <w14:solidFill>
              <w14:schemeClr w14:val="tx1"/>
            </w14:solidFill>
          </w14:textFill>
        </w:rPr>
      </w:pPr>
    </w:p>
    <w:p w14:paraId="6EFFC334">
      <w:pPr>
        <w:pageBreakBefore/>
        <w:spacing w:line="520" w:lineRule="exact"/>
        <w:jc w:val="center"/>
        <w:outlineLvl w:val="0"/>
        <w:rPr>
          <w:b/>
          <w:color w:val="000000" w:themeColor="text1"/>
          <w:sz w:val="44"/>
          <w:szCs w:val="44"/>
          <w:highlight w:val="none"/>
          <w14:textFill>
            <w14:solidFill>
              <w14:schemeClr w14:val="tx1"/>
            </w14:solidFill>
          </w14:textFill>
        </w:rPr>
      </w:pPr>
      <w:bookmarkStart w:id="31" w:name="_Toc10475"/>
      <w:bookmarkStart w:id="32" w:name="_Toc479757207"/>
      <w:bookmarkStart w:id="33" w:name="_Toc120614221"/>
      <w:bookmarkStart w:id="34" w:name="_Toc16938558"/>
      <w:bookmarkStart w:id="35" w:name="_Toc513029242"/>
      <w:bookmarkStart w:id="36" w:name="_Toc20823314"/>
      <w:r>
        <w:rPr>
          <w:rFonts w:hint="eastAsia"/>
          <w:b/>
          <w:color w:val="000000" w:themeColor="text1"/>
          <w:sz w:val="44"/>
          <w:szCs w:val="44"/>
          <w:highlight w:val="none"/>
          <w14:textFill>
            <w14:solidFill>
              <w14:schemeClr w14:val="tx1"/>
            </w14:solidFill>
          </w14:textFill>
        </w:rPr>
        <w:t xml:space="preserve">第二章  </w:t>
      </w:r>
      <w:bookmarkStart w:id="37" w:name="_Toc20823274"/>
      <w:bookmarkStart w:id="38" w:name="_Toc120614213"/>
      <w:bookmarkStart w:id="39" w:name="_Toc513029202"/>
      <w:bookmarkStart w:id="40" w:name="_Toc16938518"/>
      <w:r>
        <w:rPr>
          <w:rFonts w:hint="eastAsia"/>
          <w:b/>
          <w:color w:val="000000" w:themeColor="text1"/>
          <w:sz w:val="44"/>
          <w:szCs w:val="44"/>
          <w:highlight w:val="none"/>
          <w14:textFill>
            <w14:solidFill>
              <w14:schemeClr w14:val="tx1"/>
            </w14:solidFill>
          </w14:textFill>
        </w:rPr>
        <w:t>投标人须知</w:t>
      </w:r>
      <w:bookmarkEnd w:id="31"/>
      <w:bookmarkEnd w:id="37"/>
      <w:bookmarkEnd w:id="38"/>
      <w:bookmarkEnd w:id="39"/>
      <w:bookmarkEnd w:id="40"/>
    </w:p>
    <w:p w14:paraId="3330705B">
      <w:pPr>
        <w:pStyle w:val="295"/>
        <w:spacing w:before="145" w:after="145" w:line="360" w:lineRule="auto"/>
        <w:ind w:firstLine="498"/>
        <w:rPr>
          <w:color w:val="000000" w:themeColor="text1"/>
          <w:sz w:val="24"/>
          <w:szCs w:val="24"/>
          <w:highlight w:val="none"/>
          <w14:textFill>
            <w14:solidFill>
              <w14:schemeClr w14:val="tx1"/>
            </w14:solidFill>
          </w14:textFill>
        </w:rPr>
      </w:pPr>
      <w:bookmarkStart w:id="41" w:name="_Toc120614214"/>
      <w:bookmarkStart w:id="42" w:name="_Toc16938519"/>
      <w:bookmarkStart w:id="43" w:name="_Toc20823275"/>
      <w:bookmarkStart w:id="44" w:name="_Toc513029203"/>
      <w:r>
        <w:rPr>
          <w:rFonts w:hint="eastAsia"/>
          <w:color w:val="000000" w:themeColor="text1"/>
          <w:sz w:val="24"/>
          <w:szCs w:val="24"/>
          <w:highlight w:val="none"/>
          <w14:textFill>
            <w14:solidFill>
              <w14:schemeClr w14:val="tx1"/>
            </w14:solidFill>
          </w14:textFill>
        </w:rPr>
        <w:t>一、总则</w:t>
      </w:r>
      <w:bookmarkEnd w:id="41"/>
      <w:bookmarkEnd w:id="42"/>
      <w:bookmarkEnd w:id="43"/>
      <w:bookmarkEnd w:id="44"/>
    </w:p>
    <w:p w14:paraId="7F46BE9D">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45" w:name="_Hlt16619475"/>
      <w:bookmarkEnd w:id="45"/>
      <w:bookmarkStart w:id="46" w:name="_Toc458694821"/>
      <w:bookmarkStart w:id="47" w:name="_Toc20823276"/>
      <w:bookmarkStart w:id="48" w:name="_Toc513029204"/>
      <w:bookmarkStart w:id="49" w:name="_Toc16938520"/>
      <w:r>
        <w:rPr>
          <w:rFonts w:hint="eastAsia"/>
          <w:b w:val="0"/>
          <w:bCs w:val="0"/>
          <w:color w:val="000000" w:themeColor="text1"/>
          <w:sz w:val="24"/>
          <w:szCs w:val="24"/>
          <w:highlight w:val="none"/>
          <w14:textFill>
            <w14:solidFill>
              <w14:schemeClr w14:val="tx1"/>
            </w14:solidFill>
          </w14:textFill>
        </w:rPr>
        <w:t>1</w:t>
      </w:r>
      <w:bookmarkEnd w:id="46"/>
      <w:r>
        <w:rPr>
          <w:rFonts w:hint="eastAsia"/>
          <w:b w:val="0"/>
          <w:bCs w:val="0"/>
          <w:color w:val="000000" w:themeColor="text1"/>
          <w:sz w:val="24"/>
          <w:szCs w:val="24"/>
          <w:highlight w:val="none"/>
          <w14:textFill>
            <w14:solidFill>
              <w14:schemeClr w14:val="tx1"/>
            </w14:solidFill>
          </w14:textFill>
        </w:rPr>
        <w:t>、招标方式</w:t>
      </w:r>
      <w:bookmarkEnd w:id="47"/>
      <w:bookmarkEnd w:id="48"/>
      <w:bookmarkEnd w:id="49"/>
    </w:p>
    <w:p w14:paraId="64F857E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0F09D832">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50" w:name="_Toc513029205"/>
      <w:bookmarkStart w:id="51" w:name="_Toc20823277"/>
      <w:bookmarkStart w:id="52" w:name="_Toc16938521"/>
      <w:r>
        <w:rPr>
          <w:rFonts w:hint="eastAsia"/>
          <w:b w:val="0"/>
          <w:bCs w:val="0"/>
          <w:color w:val="000000" w:themeColor="text1"/>
          <w:sz w:val="24"/>
          <w:szCs w:val="24"/>
          <w:highlight w:val="none"/>
          <w14:textFill>
            <w14:solidFill>
              <w14:schemeClr w14:val="tx1"/>
            </w14:solidFill>
          </w14:textFill>
        </w:rPr>
        <w:t>2、合格的投标人</w:t>
      </w:r>
      <w:bookmarkEnd w:id="50"/>
      <w:bookmarkEnd w:id="51"/>
      <w:bookmarkEnd w:id="52"/>
    </w:p>
    <w:p w14:paraId="46CD23F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2.1满足招标公告中“申请人的资格要求”。</w:t>
      </w:r>
    </w:p>
    <w:p w14:paraId="4317041D">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 满足本文件实质性要求和条件的规定。</w:t>
      </w:r>
    </w:p>
    <w:p w14:paraId="22E0792B">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53" w:name="_Toc513029206"/>
      <w:bookmarkStart w:id="54" w:name="_Toc16938522"/>
      <w:bookmarkStart w:id="55" w:name="_Toc20823278"/>
      <w:r>
        <w:rPr>
          <w:rFonts w:hint="eastAsia"/>
          <w:b w:val="0"/>
          <w:bCs w:val="0"/>
          <w:color w:val="000000" w:themeColor="text1"/>
          <w:sz w:val="24"/>
          <w:szCs w:val="24"/>
          <w:highlight w:val="none"/>
          <w14:textFill>
            <w14:solidFill>
              <w14:schemeClr w14:val="tx1"/>
            </w14:solidFill>
          </w14:textFill>
        </w:rPr>
        <w:t>3、适用法律</w:t>
      </w:r>
      <w:bookmarkEnd w:id="53"/>
      <w:bookmarkEnd w:id="54"/>
      <w:bookmarkEnd w:id="55"/>
    </w:p>
    <w:p w14:paraId="514CDE99">
      <w:pPr>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 本次招标及由此产生的合同受《中华人民共和国政府采购法》《中华人民共和国民法典》等相关法律法规制约和保护</w:t>
      </w:r>
      <w:r>
        <w:rPr>
          <w:rFonts w:ascii="宋体" w:hAnsi="宋体"/>
          <w:color w:val="000000" w:themeColor="text1"/>
          <w:sz w:val="24"/>
          <w:szCs w:val="24"/>
          <w:highlight w:val="none"/>
          <w14:textFill>
            <w14:solidFill>
              <w14:schemeClr w14:val="tx1"/>
            </w14:solidFill>
          </w14:textFill>
        </w:rPr>
        <w:t>。</w:t>
      </w:r>
    </w:p>
    <w:p w14:paraId="4B548D5D">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56" w:name="_Toc513029207"/>
      <w:bookmarkStart w:id="57" w:name="_Toc20823279"/>
      <w:bookmarkStart w:id="58" w:name="_Toc462564067"/>
      <w:bookmarkStart w:id="59" w:name="_Toc16938523"/>
      <w:r>
        <w:rPr>
          <w:rFonts w:hint="eastAsia"/>
          <w:b w:val="0"/>
          <w:bCs w:val="0"/>
          <w:color w:val="000000" w:themeColor="text1"/>
          <w:sz w:val="24"/>
          <w:szCs w:val="24"/>
          <w:highlight w:val="none"/>
          <w14:textFill>
            <w14:solidFill>
              <w14:schemeClr w14:val="tx1"/>
            </w14:solidFill>
          </w14:textFill>
        </w:rPr>
        <w:t>4、投标费用</w:t>
      </w:r>
      <w:bookmarkEnd w:id="56"/>
      <w:bookmarkEnd w:id="57"/>
      <w:bookmarkEnd w:id="58"/>
      <w:bookmarkEnd w:id="59"/>
    </w:p>
    <w:p w14:paraId="66430853">
      <w:pPr>
        <w:pStyle w:val="26"/>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4.1</w:t>
      </w:r>
      <w:r>
        <w:rPr>
          <w:rFonts w:hint="eastAsia" w:ascii="宋体" w:hAnsi="宋体"/>
          <w:color w:val="000000" w:themeColor="text1"/>
          <w:sz w:val="24"/>
          <w:szCs w:val="24"/>
          <w:highlight w:val="none"/>
          <w14:textFill>
            <w14:solidFill>
              <w14:schemeClr w14:val="tx1"/>
            </w14:solidFill>
          </w14:textFill>
        </w:rPr>
        <w:t xml:space="preserve"> 投标人应自行承担所有与参加投标有关的费用，投标人应充分考虑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p>
    <w:p w14:paraId="5C6348F6">
      <w:pPr>
        <w:pStyle w:val="26"/>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无论投标过程中的做法和结果如何，采购人在任何情况下均无义务和责任承担这些费用。</w:t>
      </w:r>
    </w:p>
    <w:p w14:paraId="06DB7DEA">
      <w:pPr>
        <w:spacing w:line="480" w:lineRule="exact"/>
        <w:ind w:firstLine="460"/>
        <w:rPr>
          <w:rFonts w:ascii="宋体" w:hAnsi="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本项目招标</w:t>
      </w:r>
      <w:bookmarkStart w:id="60" w:name="OLE_LINK5"/>
      <w:bookmarkStart w:id="61" w:name="OLE_LINK4"/>
      <w:r>
        <w:rPr>
          <w:rFonts w:hint="eastAsia" w:ascii="宋体" w:hAnsi="宋体" w:cs="宋体"/>
          <w:b/>
          <w:color w:val="000000" w:themeColor="text1"/>
          <w:sz w:val="24"/>
          <w:szCs w:val="24"/>
          <w:highlight w:val="none"/>
          <w14:textFill>
            <w14:solidFill>
              <w14:schemeClr w14:val="tx1"/>
            </w14:solidFill>
          </w14:textFill>
        </w:rPr>
        <w:t>代理费</w:t>
      </w:r>
      <w:bookmarkEnd w:id="60"/>
      <w:bookmarkEnd w:id="61"/>
      <w:r>
        <w:rPr>
          <w:rFonts w:hint="eastAsia" w:ascii="宋体" w:hAnsi="宋体" w:cs="宋体"/>
          <w:b/>
          <w:color w:val="000000" w:themeColor="text1"/>
          <w:sz w:val="24"/>
          <w:szCs w:val="24"/>
          <w:highlight w:val="none"/>
          <w14:textFill>
            <w14:solidFill>
              <w14:schemeClr w14:val="tx1"/>
            </w14:solidFill>
          </w14:textFill>
        </w:rPr>
        <w:t>按苏招协【2022】002号文件标准*40%向中标单位收取，此项费用含在投标报价中，不单独列项，由投标单位在报价时综合</w:t>
      </w:r>
      <w:r>
        <w:rPr>
          <w:rFonts w:hint="eastAsia" w:ascii="宋体"/>
          <w:b/>
          <w:color w:val="000000" w:themeColor="text1"/>
          <w:sz w:val="24"/>
          <w:highlight w:val="none"/>
          <w14:textFill>
            <w14:solidFill>
              <w14:schemeClr w14:val="tx1"/>
            </w14:solidFill>
          </w14:textFill>
        </w:rPr>
        <w:t>考虑。</w:t>
      </w:r>
    </w:p>
    <w:p w14:paraId="4D5ACC4B">
      <w:pPr>
        <w:pStyle w:val="292"/>
        <w:spacing w:before="0" w:after="0" w:line="360" w:lineRule="auto"/>
        <w:ind w:firstLine="602"/>
        <w:rPr>
          <w:rFonts w:ascii="黑体" w:hAnsi="宋体"/>
          <w:b w:val="0"/>
          <w:bCs w:val="0"/>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ascii="黑体" w:hAnsi="宋体"/>
          <w:b w:val="0"/>
          <w:bCs w:val="0"/>
          <w:color w:val="000000" w:themeColor="text1"/>
          <w:sz w:val="24"/>
          <w:szCs w:val="24"/>
          <w:highlight w:val="none"/>
          <w14:textFill>
            <w14:solidFill>
              <w14:schemeClr w14:val="tx1"/>
            </w14:solidFill>
          </w14:textFill>
        </w:rPr>
        <w:t>招标文件的约束力</w:t>
      </w:r>
    </w:p>
    <w:p w14:paraId="08FDE7F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p>
    <w:p w14:paraId="6C66CDFB">
      <w:pPr>
        <w:pStyle w:val="295"/>
        <w:spacing w:before="145" w:after="145" w:line="360" w:lineRule="auto"/>
        <w:ind w:firstLine="321"/>
        <w:rPr>
          <w:color w:val="000000" w:themeColor="text1"/>
          <w:sz w:val="24"/>
          <w:szCs w:val="24"/>
          <w:highlight w:val="none"/>
          <w14:textFill>
            <w14:solidFill>
              <w14:schemeClr w14:val="tx1"/>
            </w14:solidFill>
          </w14:textFill>
        </w:rPr>
      </w:pPr>
      <w:bookmarkStart w:id="62" w:name="_Toc20823281"/>
      <w:bookmarkStart w:id="63" w:name="_Toc120614215"/>
      <w:bookmarkStart w:id="64" w:name="_Toc513029209"/>
      <w:bookmarkStart w:id="65" w:name="_Toc16938525"/>
      <w:r>
        <w:rPr>
          <w:rFonts w:hint="eastAsia"/>
          <w:color w:val="000000" w:themeColor="text1"/>
          <w:sz w:val="24"/>
          <w:szCs w:val="24"/>
          <w:highlight w:val="none"/>
          <w14:textFill>
            <w14:solidFill>
              <w14:schemeClr w14:val="tx1"/>
            </w14:solidFill>
          </w14:textFill>
        </w:rPr>
        <w:t>二、招标文件</w:t>
      </w:r>
      <w:bookmarkEnd w:id="62"/>
      <w:bookmarkEnd w:id="63"/>
      <w:bookmarkEnd w:id="64"/>
      <w:bookmarkEnd w:id="65"/>
    </w:p>
    <w:p w14:paraId="48E52E01">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66" w:name="_Toc513029210"/>
      <w:bookmarkStart w:id="67" w:name="_Toc20823282"/>
      <w:bookmarkStart w:id="68" w:name="_Toc16938526"/>
      <w:r>
        <w:rPr>
          <w:rFonts w:hint="eastAsia"/>
          <w:b w:val="0"/>
          <w:bCs w:val="0"/>
          <w:color w:val="000000" w:themeColor="text1"/>
          <w:sz w:val="24"/>
          <w:szCs w:val="24"/>
          <w:highlight w:val="none"/>
          <w14:textFill>
            <w14:solidFill>
              <w14:schemeClr w14:val="tx1"/>
            </w14:solidFill>
          </w14:textFill>
        </w:rPr>
        <w:t>6、招标文件构成</w:t>
      </w:r>
      <w:bookmarkEnd w:id="66"/>
      <w:bookmarkEnd w:id="67"/>
      <w:bookmarkEnd w:id="68"/>
    </w:p>
    <w:p w14:paraId="6143917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6.1</w:t>
      </w:r>
      <w:r>
        <w:rPr>
          <w:rFonts w:hint="eastAsia" w:ascii="宋体" w:hAnsi="宋体"/>
          <w:color w:val="000000" w:themeColor="text1"/>
          <w:sz w:val="24"/>
          <w:szCs w:val="24"/>
          <w:highlight w:val="none"/>
          <w14:textFill>
            <w14:solidFill>
              <w14:schemeClr w14:val="tx1"/>
            </w14:solidFill>
          </w14:textFill>
        </w:rPr>
        <w:t xml:space="preserve"> 招标文件由以下部分组成：</w:t>
      </w:r>
    </w:p>
    <w:p w14:paraId="3A60F880">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（1）招标公告</w:t>
      </w:r>
    </w:p>
    <w:p w14:paraId="26BCA296">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（2）投标人须知</w:t>
      </w:r>
    </w:p>
    <w:p w14:paraId="47B01D37">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74402B07">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hint="eastAsia" w:ascii="宋体" w:hAnsi="宋体"/>
          <w:color w:val="000000" w:themeColor="text1"/>
          <w:sz w:val="24"/>
          <w:szCs w:val="24"/>
          <w:highlight w:val="none"/>
          <w:lang w:val="en-US" w:eastAsia="zh-CN"/>
          <w14:textFill>
            <w14:solidFill>
              <w14:schemeClr w14:val="tx1"/>
            </w14:solidFill>
          </w14:textFill>
        </w:rPr>
        <w:t>采购</w:t>
      </w:r>
      <w:r>
        <w:rPr>
          <w:rFonts w:hint="eastAsia" w:ascii="宋体" w:hAnsi="宋体"/>
          <w:color w:val="000000" w:themeColor="text1"/>
          <w:sz w:val="24"/>
          <w:szCs w:val="24"/>
          <w:highlight w:val="none"/>
          <w14:textFill>
            <w14:solidFill>
              <w14:schemeClr w14:val="tx1"/>
            </w14:solidFill>
          </w14:textFill>
        </w:rPr>
        <w:t>需求</w:t>
      </w:r>
    </w:p>
    <w:p w14:paraId="189ECB4C">
      <w:pPr>
        <w:spacing w:line="360" w:lineRule="auto"/>
        <w:ind w:firstLine="36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32247E0B">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（6）投标文件格式</w:t>
      </w:r>
    </w:p>
    <w:p w14:paraId="42597AD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请仔细检查招标文件是否齐全，如有缺漏请立即与采购人联系解决。</w:t>
      </w:r>
    </w:p>
    <w:p w14:paraId="273E3D5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6.2</w:t>
      </w:r>
      <w:r>
        <w:rPr>
          <w:rFonts w:hint="eastAsia" w:ascii="宋体" w:hAnsi="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E7E8B5">
      <w:pPr>
        <w:pStyle w:val="292"/>
        <w:spacing w:before="0" w:after="0" w:line="360" w:lineRule="auto"/>
        <w:ind w:firstLine="560"/>
        <w:rPr>
          <w:b w:val="0"/>
          <w:bCs w:val="0"/>
          <w:color w:val="000000" w:themeColor="text1"/>
          <w:sz w:val="24"/>
          <w:szCs w:val="24"/>
          <w:highlight w:val="none"/>
          <w14:textFill>
            <w14:solidFill>
              <w14:schemeClr w14:val="tx1"/>
            </w14:solidFill>
          </w14:textFill>
        </w:rPr>
      </w:pPr>
      <w:bookmarkStart w:id="69" w:name="_Toc20823283"/>
      <w:bookmarkStart w:id="70" w:name="_Toc16938527"/>
      <w:bookmarkStart w:id="71" w:name="_Toc462564070"/>
      <w:bookmarkStart w:id="72" w:name="_Toc513029211"/>
      <w:r>
        <w:rPr>
          <w:rFonts w:hint="eastAsia"/>
          <w:b w:val="0"/>
          <w:bCs w:val="0"/>
          <w:color w:val="000000" w:themeColor="text1"/>
          <w:sz w:val="24"/>
          <w:szCs w:val="24"/>
          <w:highlight w:val="none"/>
          <w14:textFill>
            <w14:solidFill>
              <w14:schemeClr w14:val="tx1"/>
            </w14:solidFill>
          </w14:textFill>
        </w:rPr>
        <w:t>7、招标文件的澄清</w:t>
      </w:r>
      <w:bookmarkEnd w:id="69"/>
      <w:bookmarkEnd w:id="70"/>
      <w:bookmarkEnd w:id="71"/>
      <w:bookmarkEnd w:id="72"/>
    </w:p>
    <w:p w14:paraId="760C764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7.1</w:t>
      </w:r>
      <w:r>
        <w:rPr>
          <w:rFonts w:hint="eastAsia" w:ascii="宋体" w:hAnsi="宋体"/>
          <w:color w:val="000000" w:themeColor="text1"/>
          <w:sz w:val="24"/>
          <w:szCs w:val="24"/>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十日</w:t>
      </w:r>
      <w:r>
        <w:rPr>
          <w:rFonts w:hint="eastAsia" w:ascii="仿宋_GB2312" w:hAnsi="仿宋_GB2312"/>
          <w:color w:val="000000" w:themeColor="text1"/>
          <w:sz w:val="24"/>
          <w:szCs w:val="24"/>
          <w:highlight w:val="none"/>
          <w14:textFill>
            <w14:solidFill>
              <w14:schemeClr w14:val="tx1"/>
            </w14:solidFill>
          </w14:textFill>
        </w:rPr>
        <w:t>前</w:t>
      </w:r>
      <w:r>
        <w:rPr>
          <w:rFonts w:hint="eastAsia" w:ascii="宋体" w:hAnsi="宋体"/>
          <w:color w:val="000000" w:themeColor="text1"/>
          <w:sz w:val="24"/>
          <w:szCs w:val="24"/>
          <w:highlight w:val="none"/>
          <w14:textFill>
            <w14:solidFill>
              <w14:schemeClr w14:val="tx1"/>
            </w14:solidFill>
          </w14:textFill>
        </w:rPr>
        <w:t>按招标公告中的通讯地址，以书面形式通知采购人。</w:t>
      </w:r>
    </w:p>
    <w:p w14:paraId="3E14BEAB">
      <w:pPr>
        <w:pStyle w:val="292"/>
        <w:spacing w:before="0" w:after="0" w:line="360" w:lineRule="auto"/>
        <w:ind w:firstLine="560"/>
        <w:rPr>
          <w:b w:val="0"/>
          <w:bCs w:val="0"/>
          <w:color w:val="000000" w:themeColor="text1"/>
          <w:sz w:val="24"/>
          <w:szCs w:val="24"/>
          <w:highlight w:val="none"/>
          <w14:textFill>
            <w14:solidFill>
              <w14:schemeClr w14:val="tx1"/>
            </w14:solidFill>
          </w14:textFill>
        </w:rPr>
      </w:pPr>
      <w:bookmarkStart w:id="73" w:name="_Toc16938528"/>
      <w:bookmarkStart w:id="74" w:name="_Toc20823284"/>
      <w:bookmarkStart w:id="75" w:name="_Toc462564071"/>
      <w:bookmarkStart w:id="76" w:name="_Toc513029212"/>
      <w:r>
        <w:rPr>
          <w:rFonts w:hint="eastAsia"/>
          <w:b w:val="0"/>
          <w:bCs w:val="0"/>
          <w:color w:val="000000" w:themeColor="text1"/>
          <w:sz w:val="24"/>
          <w:szCs w:val="24"/>
          <w:highlight w:val="none"/>
          <w14:textFill>
            <w14:solidFill>
              <w14:schemeClr w14:val="tx1"/>
            </w14:solidFill>
          </w14:textFill>
        </w:rPr>
        <w:t>8、招标文件的修改</w:t>
      </w:r>
      <w:bookmarkEnd w:id="73"/>
      <w:bookmarkEnd w:id="74"/>
      <w:bookmarkEnd w:id="75"/>
      <w:bookmarkEnd w:id="76"/>
    </w:p>
    <w:p w14:paraId="45A70B9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w:t>
      </w:r>
      <w:r>
        <w:rPr>
          <w:rFonts w:hint="eastAsia" w:ascii="宋体" w:hAnsi="宋体"/>
          <w:color w:val="000000" w:themeColor="text1"/>
          <w:sz w:val="24"/>
          <w:szCs w:val="24"/>
          <w:highlight w:val="none"/>
          <w14:textFill>
            <w14:solidFill>
              <w14:schemeClr w14:val="tx1"/>
            </w14:solidFill>
          </w14:textFill>
        </w:rPr>
        <w:t xml:space="preserve"> 在投标截止时间</w:t>
      </w:r>
      <w:r>
        <w:rPr>
          <w:rFonts w:hint="eastAsia" w:ascii="仿宋_GB2312" w:hAnsi="仿宋_GB2312"/>
          <w:color w:val="000000" w:themeColor="text1"/>
          <w:sz w:val="24"/>
          <w:szCs w:val="24"/>
          <w:highlight w:val="none"/>
          <w14:textFill>
            <w14:solidFill>
              <w14:schemeClr w14:val="tx1"/>
            </w14:solidFill>
          </w14:textFill>
        </w:rPr>
        <w:t>前</w:t>
      </w:r>
      <w:r>
        <w:rPr>
          <w:rFonts w:hint="eastAsia" w:ascii="宋体" w:hAnsi="宋体"/>
          <w:color w:val="000000" w:themeColor="text1"/>
          <w:sz w:val="24"/>
          <w:szCs w:val="24"/>
          <w:highlight w:val="none"/>
          <w14:textFill>
            <w14:solidFill>
              <w14:schemeClr w14:val="tx1"/>
            </w14:solidFill>
          </w14:textFill>
        </w:rPr>
        <w:t>，采购人可以对招标文件进行修改。</w:t>
      </w:r>
    </w:p>
    <w:p w14:paraId="1FEDD5D2">
      <w:pPr>
        <w:spacing w:line="360" w:lineRule="auto"/>
        <w:ind w:firstLine="480"/>
        <w:rPr>
          <w:rFonts w:ascii="宋体" w:hAnsi="Arial"/>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8.2 </w:t>
      </w:r>
      <w:r>
        <w:rPr>
          <w:rFonts w:hint="eastAsia" w:ascii="宋体" w:hAnsi="宋体"/>
          <w:color w:val="000000" w:themeColor="text1"/>
          <w:sz w:val="24"/>
          <w:szCs w:val="24"/>
          <w:highlight w:val="none"/>
          <w14:textFill>
            <w14:solidFill>
              <w14:schemeClr w14:val="tx1"/>
            </w14:solidFill>
          </w14:textFill>
        </w:rPr>
        <w:t>采购人有权按照法定的要求推迟投标截止日期和开标日期。</w:t>
      </w:r>
    </w:p>
    <w:p w14:paraId="3C008F4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8.3 </w:t>
      </w:r>
      <w:r>
        <w:rPr>
          <w:rFonts w:hint="eastAsia" w:ascii="宋体" w:hAnsi="宋体"/>
          <w:color w:val="000000" w:themeColor="text1"/>
          <w:sz w:val="24"/>
          <w:szCs w:val="24"/>
          <w:highlight w:val="none"/>
          <w14:textFill>
            <w14:solidFill>
              <w14:schemeClr w14:val="tx1"/>
            </w14:solidFill>
          </w14:textFill>
        </w:rPr>
        <w:t>招标文件的修改将在江苏政府采购网公布，补充文件将作为招标文件的组成部分，并对投标人具有约束力。</w:t>
      </w:r>
    </w:p>
    <w:p w14:paraId="12D1E8AB">
      <w:pPr>
        <w:pStyle w:val="295"/>
        <w:spacing w:before="145" w:after="145" w:line="360" w:lineRule="auto"/>
        <w:ind w:firstLine="482"/>
        <w:rPr>
          <w:color w:val="000000" w:themeColor="text1"/>
          <w:sz w:val="24"/>
          <w:szCs w:val="24"/>
          <w:highlight w:val="none"/>
          <w14:textFill>
            <w14:solidFill>
              <w14:schemeClr w14:val="tx1"/>
            </w14:solidFill>
          </w14:textFill>
        </w:rPr>
      </w:pPr>
      <w:bookmarkStart w:id="77" w:name="_Toc513029213"/>
      <w:bookmarkStart w:id="78" w:name="_Toc462564072"/>
      <w:bookmarkStart w:id="79" w:name="_Toc20823285"/>
      <w:bookmarkStart w:id="80" w:name="_Toc16938529"/>
      <w:bookmarkStart w:id="81" w:name="_Toc120614216"/>
      <w:r>
        <w:rPr>
          <w:rFonts w:hint="eastAsia"/>
          <w:color w:val="000000" w:themeColor="text1"/>
          <w:sz w:val="24"/>
          <w:szCs w:val="24"/>
          <w:highlight w:val="none"/>
          <w14:textFill>
            <w14:solidFill>
              <w14:schemeClr w14:val="tx1"/>
            </w14:solidFill>
          </w14:textFill>
        </w:rPr>
        <w:t>三、投标文件的编制</w:t>
      </w:r>
      <w:bookmarkEnd w:id="77"/>
      <w:bookmarkEnd w:id="78"/>
      <w:bookmarkEnd w:id="79"/>
      <w:bookmarkEnd w:id="80"/>
      <w:bookmarkEnd w:id="81"/>
    </w:p>
    <w:p w14:paraId="1875F765">
      <w:pPr>
        <w:pStyle w:val="292"/>
        <w:spacing w:before="0" w:after="0" w:line="360" w:lineRule="auto"/>
        <w:ind w:firstLine="560"/>
        <w:rPr>
          <w:bCs w:val="0"/>
          <w:color w:val="000000" w:themeColor="text1"/>
          <w:sz w:val="24"/>
          <w:szCs w:val="24"/>
          <w:highlight w:val="none"/>
          <w14:textFill>
            <w14:solidFill>
              <w14:schemeClr w14:val="tx1"/>
            </w14:solidFill>
          </w14:textFill>
        </w:rPr>
      </w:pPr>
      <w:bookmarkStart w:id="82" w:name="_Toc513029214"/>
      <w:bookmarkStart w:id="83" w:name="_Toc462564073"/>
      <w:bookmarkStart w:id="84" w:name="_Toc20823286"/>
      <w:bookmarkStart w:id="85" w:name="_Toc16938530"/>
      <w:r>
        <w:rPr>
          <w:rFonts w:hint="eastAsia"/>
          <w:b w:val="0"/>
          <w:bCs w:val="0"/>
          <w:color w:val="000000" w:themeColor="text1"/>
          <w:sz w:val="24"/>
          <w:szCs w:val="24"/>
          <w:highlight w:val="none"/>
          <w14:textFill>
            <w14:solidFill>
              <w14:schemeClr w14:val="tx1"/>
            </w14:solidFill>
          </w14:textFill>
        </w:rPr>
        <w:t>9、投标文件的语言及度量衡单位</w:t>
      </w:r>
      <w:bookmarkEnd w:id="82"/>
      <w:bookmarkEnd w:id="83"/>
      <w:bookmarkEnd w:id="84"/>
      <w:bookmarkEnd w:id="85"/>
    </w:p>
    <w:p w14:paraId="36F0FC3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9.1</w:t>
      </w:r>
      <w:r>
        <w:rPr>
          <w:rFonts w:hint="eastAsia" w:ascii="宋体" w:hAnsi="宋体"/>
          <w:color w:val="000000" w:themeColor="text1"/>
          <w:sz w:val="24"/>
          <w:szCs w:val="24"/>
          <w:highlight w:val="none"/>
          <w14:textFill>
            <w14:solidFill>
              <w14:schemeClr w14:val="tx1"/>
            </w14:solidFill>
          </w14:textFill>
        </w:rPr>
        <w:t xml:space="preserve"> 投标人提交的投标文件以及投标人与采购人就有关投标的所有来往通知、函件和文件均应使用</w:t>
      </w:r>
      <w:r>
        <w:rPr>
          <w:rFonts w:hint="eastAsia" w:ascii="宋体" w:hAnsi="宋体"/>
          <w:b/>
          <w:bCs/>
          <w:color w:val="000000" w:themeColor="text1"/>
          <w:sz w:val="24"/>
          <w:szCs w:val="24"/>
          <w:highlight w:val="none"/>
          <w14:textFill>
            <w14:solidFill>
              <w14:schemeClr w14:val="tx1"/>
            </w14:solidFill>
          </w14:textFill>
        </w:rPr>
        <w:t>简体中文</w:t>
      </w:r>
      <w:r>
        <w:rPr>
          <w:rFonts w:hint="eastAsia" w:ascii="宋体" w:hAnsi="宋体"/>
          <w:color w:val="000000" w:themeColor="text1"/>
          <w:sz w:val="24"/>
          <w:szCs w:val="24"/>
          <w:highlight w:val="none"/>
          <w14:textFill>
            <w14:solidFill>
              <w14:schemeClr w14:val="tx1"/>
            </w14:solidFill>
          </w14:textFill>
        </w:rPr>
        <w:t>。</w:t>
      </w:r>
    </w:p>
    <w:p w14:paraId="4F65FAB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9.2</w:t>
      </w:r>
      <w:r>
        <w:rPr>
          <w:rFonts w:hint="eastAsia" w:ascii="宋体" w:hAnsi="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p>
    <w:p w14:paraId="5B551E1B">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86" w:name="_Toc16938531"/>
      <w:bookmarkStart w:id="87" w:name="_Toc513029215"/>
      <w:bookmarkStart w:id="88" w:name="_Toc20823287"/>
      <w:bookmarkStart w:id="89" w:name="_Toc462564074"/>
      <w:r>
        <w:rPr>
          <w:rFonts w:hint="eastAsia"/>
          <w:b w:val="0"/>
          <w:bCs w:val="0"/>
          <w:color w:val="000000" w:themeColor="text1"/>
          <w:sz w:val="24"/>
          <w:szCs w:val="24"/>
          <w:highlight w:val="none"/>
          <w14:textFill>
            <w14:solidFill>
              <w14:schemeClr w14:val="tx1"/>
            </w14:solidFill>
          </w14:textFill>
        </w:rPr>
        <w:t>10、投标文件构成</w:t>
      </w:r>
      <w:bookmarkEnd w:id="86"/>
      <w:bookmarkEnd w:id="87"/>
      <w:bookmarkEnd w:id="88"/>
      <w:bookmarkEnd w:id="89"/>
    </w:p>
    <w:p w14:paraId="36B9FFA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10.1</w:t>
      </w:r>
      <w:r>
        <w:rPr>
          <w:rFonts w:hint="eastAsia" w:ascii="宋体" w:hAnsi="宋体"/>
          <w:color w:val="000000" w:themeColor="text1"/>
          <w:sz w:val="24"/>
          <w:szCs w:val="24"/>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p>
    <w:p w14:paraId="5B0A64DA">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10.2 如标书制作工具中格式和内容与“江苏政府采购网”发布的招标文件不一致，请以“江苏政府采购网”发布的招标文件为准。</w:t>
      </w:r>
    </w:p>
    <w:p w14:paraId="32C12A8E">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90" w:name="_Hlt26668975"/>
      <w:bookmarkEnd w:id="90"/>
      <w:bookmarkStart w:id="91" w:name="_Hlt26670360"/>
      <w:bookmarkEnd w:id="91"/>
      <w:bookmarkStart w:id="92" w:name="_Hlt26954838"/>
      <w:bookmarkEnd w:id="92"/>
      <w:bookmarkStart w:id="93" w:name="_Toc49090507"/>
      <w:bookmarkStart w:id="94" w:name="_Toc513029219"/>
      <w:bookmarkStart w:id="95" w:name="_Toc14577357"/>
      <w:bookmarkStart w:id="96" w:name="_Toc49090509"/>
      <w:bookmarkStart w:id="97" w:name="_Toc14577354"/>
      <w:bookmarkStart w:id="98" w:name="_Toc513029216"/>
      <w:r>
        <w:rPr>
          <w:rFonts w:hint="eastAsia"/>
          <w:b w:val="0"/>
          <w:bCs w:val="0"/>
          <w:color w:val="000000" w:themeColor="text1"/>
          <w:sz w:val="24"/>
          <w:szCs w:val="24"/>
          <w:highlight w:val="none"/>
          <w14:textFill>
            <w14:solidFill>
              <w14:schemeClr w14:val="tx1"/>
            </w14:solidFill>
          </w14:textFill>
        </w:rPr>
        <w:t>11、证明投标人及投标标的符合招标文件规定的文件</w:t>
      </w:r>
      <w:bookmarkEnd w:id="93"/>
      <w:bookmarkEnd w:id="94"/>
      <w:bookmarkEnd w:id="95"/>
      <w:bookmarkEnd w:id="96"/>
      <w:bookmarkEnd w:id="97"/>
      <w:bookmarkEnd w:id="98"/>
    </w:p>
    <w:p w14:paraId="2FA93E59">
      <w:pPr>
        <w:spacing w:line="360" w:lineRule="auto"/>
        <w:rPr>
          <w:rFonts w:ascii="宋体" w:hAnsi="宋体"/>
          <w:color w:val="000000" w:themeColor="text1"/>
          <w:sz w:val="24"/>
          <w:szCs w:val="24"/>
          <w:highlight w:val="none"/>
          <w14:textFill>
            <w14:solidFill>
              <w14:schemeClr w14:val="tx1"/>
            </w14:solidFill>
          </w14:textFill>
        </w:rPr>
      </w:pPr>
      <w:bookmarkStart w:id="99" w:name="_Toc14577355"/>
      <w:bookmarkStart w:id="100" w:name="_Toc49090508"/>
      <w:r>
        <w:rPr>
          <w:rFonts w:hint="eastAsia" w:ascii="宋体" w:hAnsi="宋体"/>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p>
    <w:p w14:paraId="7ABEBC9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4F979BF2">
      <w:pPr>
        <w:pStyle w:val="292"/>
        <w:spacing w:before="0" w:after="0" w:line="360" w:lineRule="auto"/>
        <w:ind w:firstLine="420"/>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12、投标分项报价</w:t>
      </w:r>
      <w:bookmarkEnd w:id="99"/>
      <w:bookmarkStart w:id="101" w:name="_Hlt26670373"/>
      <w:bookmarkEnd w:id="101"/>
      <w:r>
        <w:rPr>
          <w:rFonts w:hint="eastAsia"/>
          <w:b w:val="0"/>
          <w:bCs w:val="0"/>
          <w:color w:val="000000" w:themeColor="text1"/>
          <w:sz w:val="24"/>
          <w:szCs w:val="24"/>
          <w:highlight w:val="none"/>
          <w14:textFill>
            <w14:solidFill>
              <w14:schemeClr w14:val="tx1"/>
            </w14:solidFill>
          </w14:textFill>
        </w:rPr>
        <w:t>表</w:t>
      </w:r>
      <w:bookmarkEnd w:id="100"/>
    </w:p>
    <w:p w14:paraId="4B77B287">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12.1</w:t>
      </w:r>
      <w:r>
        <w:rPr>
          <w:rFonts w:hint="eastAsia" w:ascii="宋体" w:hAnsi="宋体"/>
          <w:color w:val="000000" w:themeColor="text1"/>
          <w:sz w:val="24"/>
          <w:szCs w:val="24"/>
          <w:highlight w:val="none"/>
          <w14:textFill>
            <w14:solidFill>
              <w14:schemeClr w14:val="tx1"/>
            </w14:solidFill>
          </w14:textFill>
        </w:rPr>
        <w:t xml:space="preserve"> 投</w:t>
      </w:r>
      <w:bookmarkStart w:id="102" w:name="_Hlt26954840"/>
      <w:bookmarkEnd w:id="102"/>
      <w:r>
        <w:rPr>
          <w:rFonts w:hint="eastAsia" w:ascii="宋体" w:hAnsi="宋体"/>
          <w:color w:val="000000" w:themeColor="text1"/>
          <w:sz w:val="24"/>
          <w:szCs w:val="24"/>
          <w:highlight w:val="none"/>
          <w14:textFill>
            <w14:solidFill>
              <w14:schemeClr w14:val="tx1"/>
            </w14:solidFill>
          </w14:textFill>
        </w:rPr>
        <w:t>标人应按照招标文件规定格式填报投标分项报价表</w:t>
      </w:r>
      <w:bookmarkStart w:id="103" w:name="_Hlt26670399"/>
      <w:bookmarkEnd w:id="103"/>
      <w:r>
        <w:rPr>
          <w:rFonts w:hint="eastAsia" w:ascii="宋体" w:hAnsi="宋体"/>
          <w:color w:val="000000" w:themeColor="text1"/>
          <w:sz w:val="24"/>
          <w:szCs w:val="24"/>
          <w:highlight w:val="none"/>
          <w14:textFill>
            <w14:solidFill>
              <w14:schemeClr w14:val="tx1"/>
            </w14:solidFill>
          </w14:textFill>
        </w:rPr>
        <w:t>。</w:t>
      </w:r>
    </w:p>
    <w:p w14:paraId="37087F8E">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bCs/>
          <w:color w:val="000000" w:themeColor="text1"/>
          <w:sz w:val="24"/>
          <w:szCs w:val="24"/>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szCs w:val="24"/>
          <w:highlight w:val="none"/>
          <w14:textFill>
            <w14:solidFill>
              <w14:schemeClr w14:val="tx1"/>
            </w14:solidFill>
          </w14:textFill>
        </w:rPr>
        <w:t>招标文件中另有规定的按规定执行。</w:t>
      </w:r>
    </w:p>
    <w:p w14:paraId="10DE2EF3">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04" w:name="_Hlt26668983"/>
      <w:bookmarkEnd w:id="104"/>
      <w:bookmarkStart w:id="105" w:name="_Hlt26670482"/>
      <w:bookmarkEnd w:id="105"/>
      <w:bookmarkStart w:id="106" w:name="_Hlt26954846"/>
      <w:bookmarkEnd w:id="106"/>
      <w:bookmarkStart w:id="107" w:name="_Hlt26954844"/>
      <w:bookmarkEnd w:id="107"/>
      <w:bookmarkStart w:id="108" w:name="_Hlt26670425"/>
      <w:bookmarkEnd w:id="108"/>
      <w:bookmarkStart w:id="109" w:name="_Hlt26670486"/>
      <w:bookmarkEnd w:id="109"/>
      <w:bookmarkStart w:id="110" w:name="_Hlt26954848"/>
      <w:bookmarkEnd w:id="110"/>
      <w:bookmarkStart w:id="111" w:name="_Hlt26954731"/>
      <w:bookmarkEnd w:id="111"/>
      <w:bookmarkStart w:id="112" w:name="_Hlt26954842"/>
      <w:bookmarkEnd w:id="112"/>
      <w:bookmarkStart w:id="113" w:name="_Hlt26670403"/>
      <w:bookmarkEnd w:id="113"/>
      <w:r>
        <w:rPr>
          <w:rFonts w:hint="eastAsia"/>
          <w:b w:val="0"/>
          <w:bCs w:val="0"/>
          <w:color w:val="000000" w:themeColor="text1"/>
          <w:sz w:val="24"/>
          <w:szCs w:val="24"/>
          <w:highlight w:val="none"/>
          <w14:textFill>
            <w14:solidFill>
              <w14:schemeClr w14:val="tx1"/>
            </w14:solidFill>
          </w14:textFill>
        </w:rPr>
        <w:t>13、技术要求响应及偏离表、商务要求响应及偏离表</w:t>
      </w:r>
    </w:p>
    <w:p w14:paraId="4815FA95">
      <w:pPr>
        <w:spacing w:line="360" w:lineRule="auto"/>
        <w:ind w:firstLine="480"/>
        <w:rPr>
          <w:rFonts w:ascii="宋体" w:hAnsi="Arial" w:cs="宋体"/>
          <w:color w:val="000000" w:themeColor="text1"/>
          <w:sz w:val="24"/>
          <w:szCs w:val="24"/>
          <w:highlight w:val="none"/>
          <w:lang w:val="zh-CN"/>
          <w14:textFill>
            <w14:solidFill>
              <w14:schemeClr w14:val="tx1"/>
            </w14:solidFill>
          </w14:textFill>
        </w:rPr>
      </w:pPr>
      <w:r>
        <w:rPr>
          <w:rFonts w:ascii="宋体" w:hAnsi="Arial" w:cs="宋体"/>
          <w:bCs/>
          <w:color w:val="000000" w:themeColor="text1"/>
          <w:sz w:val="24"/>
          <w:szCs w:val="24"/>
          <w:highlight w:val="none"/>
          <w:lang w:val="zh-CN"/>
          <w14:textFill>
            <w14:solidFill>
              <w14:schemeClr w14:val="tx1"/>
            </w14:solidFill>
          </w14:textFill>
        </w:rPr>
        <w:t>1</w:t>
      </w:r>
      <w:r>
        <w:rPr>
          <w:rFonts w:hint="eastAsia" w:ascii="宋体" w:hAnsi="Arial" w:cs="宋体"/>
          <w:bCs/>
          <w:color w:val="000000" w:themeColor="text1"/>
          <w:sz w:val="24"/>
          <w:szCs w:val="24"/>
          <w:highlight w:val="none"/>
          <w:lang w:val="zh-CN"/>
          <w14:textFill>
            <w14:solidFill>
              <w14:schemeClr w14:val="tx1"/>
            </w14:solidFill>
          </w14:textFill>
        </w:rPr>
        <w:t>3</w:t>
      </w:r>
      <w:r>
        <w:rPr>
          <w:rFonts w:ascii="宋体" w:hAnsi="Arial" w:cs="宋体"/>
          <w:bCs/>
          <w:color w:val="000000" w:themeColor="text1"/>
          <w:sz w:val="24"/>
          <w:szCs w:val="24"/>
          <w:highlight w:val="none"/>
          <w:lang w:val="zh-CN"/>
          <w14:textFill>
            <w14:solidFill>
              <w14:schemeClr w14:val="tx1"/>
            </w14:solidFill>
          </w14:textFill>
        </w:rPr>
        <w:t>.1</w:t>
      </w:r>
      <w:r>
        <w:rPr>
          <w:rFonts w:ascii="宋体" w:hAnsi="Arial" w:cs="宋体"/>
          <w:color w:val="000000" w:themeColor="text1"/>
          <w:sz w:val="24"/>
          <w:szCs w:val="24"/>
          <w:highlight w:val="none"/>
          <w:lang w:val="zh-CN"/>
          <w14:textFill>
            <w14:solidFill>
              <w14:schemeClr w14:val="tx1"/>
            </w14:solidFill>
          </w14:textFill>
        </w:rPr>
        <w:t xml:space="preserve"> </w:t>
      </w:r>
      <w:r>
        <w:rPr>
          <w:rFonts w:hint="eastAsia" w:ascii="宋体" w:hAnsi="Arial" w:cs="宋体"/>
          <w:color w:val="000000" w:themeColor="text1"/>
          <w:sz w:val="24"/>
          <w:szCs w:val="24"/>
          <w:highlight w:val="none"/>
          <w:lang w:val="zh-CN"/>
          <w14:textFill>
            <w14:solidFill>
              <w14:schemeClr w14:val="tx1"/>
            </w14:solidFill>
          </w14:textFill>
        </w:rPr>
        <w:t>投标人需对招标文件中的技术要求与商务要求逐项作出响应或偏离，并说明原因。</w:t>
      </w:r>
    </w:p>
    <w:p w14:paraId="6D8DE41C">
      <w:pPr>
        <w:tabs>
          <w:tab w:val="left" w:pos="1035"/>
        </w:tabs>
        <w:spacing w:line="360" w:lineRule="auto"/>
        <w:ind w:firstLine="480"/>
        <w:rPr>
          <w:rFonts w:ascii="宋体" w:hAnsi="Arial" w:cs="宋体"/>
          <w:color w:val="000000" w:themeColor="text1"/>
          <w:sz w:val="24"/>
          <w:szCs w:val="24"/>
          <w:highlight w:val="none"/>
          <w:lang w:val="zh-CN"/>
          <w14:textFill>
            <w14:solidFill>
              <w14:schemeClr w14:val="tx1"/>
            </w14:solidFill>
          </w14:textFill>
        </w:rPr>
      </w:pPr>
      <w:r>
        <w:rPr>
          <w:rFonts w:hint="eastAsia" w:ascii="宋体" w:hAnsi="Arial" w:cs="宋体"/>
          <w:color w:val="000000" w:themeColor="text1"/>
          <w:sz w:val="24"/>
          <w:szCs w:val="24"/>
          <w:highlight w:val="none"/>
          <w:lang w:val="zh-CN"/>
          <w14:textFill>
            <w14:solidFill>
              <w14:schemeClr w14:val="tx1"/>
            </w14:solidFill>
          </w14:textFill>
        </w:rPr>
        <w:t>13.2 投标人可在投标文件中提供认为需要的其他技术文件或说明。</w:t>
      </w:r>
    </w:p>
    <w:p w14:paraId="76AF1C66">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14" w:name="_Toc49090510"/>
      <w:bookmarkStart w:id="115" w:name="_Toc14577359"/>
      <w:r>
        <w:rPr>
          <w:rFonts w:hint="eastAsia"/>
          <w:b w:val="0"/>
          <w:bCs w:val="0"/>
          <w:color w:val="000000" w:themeColor="text1"/>
          <w:sz w:val="24"/>
          <w:szCs w:val="24"/>
          <w:highlight w:val="none"/>
          <w14:textFill>
            <w14:solidFill>
              <w14:schemeClr w14:val="tx1"/>
            </w14:solidFill>
          </w14:textFill>
        </w:rPr>
        <w:t>14、投标函和开标一览表</w:t>
      </w:r>
    </w:p>
    <w:p w14:paraId="236526C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14.1</w:t>
      </w:r>
      <w:r>
        <w:rPr>
          <w:rFonts w:hint="eastAsia" w:ascii="宋体" w:hAnsi="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p>
    <w:p w14:paraId="7878AC7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14.2</w:t>
      </w:r>
      <w:r>
        <w:rPr>
          <w:rFonts w:hint="eastAsia" w:ascii="宋体" w:hAnsi="宋体"/>
          <w:color w:val="000000" w:themeColor="text1"/>
          <w:sz w:val="24"/>
          <w:szCs w:val="24"/>
          <w:highlight w:val="none"/>
          <w14:textFill>
            <w14:solidFill>
              <w14:schemeClr w14:val="tx1"/>
            </w14:solidFill>
          </w14:textFill>
        </w:rPr>
        <w:t xml:space="preserve"> 对于采用货币报价的项目，</w:t>
      </w:r>
      <w:r>
        <w:rPr>
          <w:rFonts w:hint="eastAsia" w:ascii="宋体" w:hAnsi="宋体"/>
          <w:bCs/>
          <w:color w:val="000000" w:themeColor="text1"/>
          <w:sz w:val="24"/>
          <w:szCs w:val="24"/>
          <w:highlight w:val="none"/>
          <w14:textFill>
            <w14:solidFill>
              <w14:schemeClr w14:val="tx1"/>
            </w14:solidFill>
          </w14:textFill>
        </w:rPr>
        <w:t>开标一览表中的投标总报价应与投标分项报价表中的投标总报价一致，如不一致，</w:t>
      </w:r>
      <w:r>
        <w:rPr>
          <w:rFonts w:hint="eastAsia" w:ascii="宋体" w:hAnsi="宋体"/>
          <w:color w:val="000000" w:themeColor="text1"/>
          <w:sz w:val="24"/>
          <w:szCs w:val="24"/>
          <w:highlight w:val="none"/>
          <w14:textFill>
            <w14:solidFill>
              <w14:schemeClr w14:val="tx1"/>
            </w14:solidFill>
          </w14:textFill>
        </w:rPr>
        <w:t>不作为无效投标处理</w:t>
      </w:r>
      <w:r>
        <w:rPr>
          <w:rFonts w:hint="eastAsia" w:ascii="宋体" w:hAnsi="宋体"/>
          <w:bCs/>
          <w:color w:val="000000" w:themeColor="text1"/>
          <w:sz w:val="24"/>
          <w:szCs w:val="24"/>
          <w:highlight w:val="none"/>
          <w14:textFill>
            <w14:solidFill>
              <w14:schemeClr w14:val="tx1"/>
            </w14:solidFill>
          </w14:textFill>
        </w:rPr>
        <w:t>，但评标时按开标一览表中价格为准</w:t>
      </w:r>
      <w:r>
        <w:rPr>
          <w:rFonts w:hint="eastAsia" w:ascii="宋体" w:hAnsi="宋体"/>
          <w:b/>
          <w:bCs/>
          <w:color w:val="000000" w:themeColor="text1"/>
          <w:sz w:val="24"/>
          <w:szCs w:val="24"/>
          <w:highlight w:val="none"/>
          <w14:textFill>
            <w14:solidFill>
              <w14:schemeClr w14:val="tx1"/>
            </w14:solidFill>
          </w14:textFill>
        </w:rPr>
        <w:t>。</w:t>
      </w:r>
      <w:bookmarkEnd w:id="114"/>
      <w:bookmarkEnd w:id="115"/>
    </w:p>
    <w:p w14:paraId="1C76F5D9">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16" w:name="_Hlt26954850"/>
      <w:bookmarkEnd w:id="116"/>
      <w:bookmarkStart w:id="117" w:name="_Hlt26954734"/>
      <w:bookmarkEnd w:id="117"/>
      <w:bookmarkStart w:id="118" w:name="_Hlt26670489"/>
      <w:bookmarkEnd w:id="118"/>
      <w:bookmarkStart w:id="119" w:name="_Toc49090511"/>
      <w:bookmarkStart w:id="120" w:name="_Toc14577360"/>
      <w:r>
        <w:rPr>
          <w:rFonts w:hint="eastAsia"/>
          <w:b w:val="0"/>
          <w:bCs w:val="0"/>
          <w:color w:val="000000" w:themeColor="text1"/>
          <w:sz w:val="24"/>
          <w:szCs w:val="24"/>
          <w:highlight w:val="none"/>
          <w14:textFill>
            <w14:solidFill>
              <w14:schemeClr w14:val="tx1"/>
            </w14:solidFill>
          </w14:textFill>
        </w:rPr>
        <w:t>15、投标有效期</w:t>
      </w:r>
      <w:bookmarkEnd w:id="119"/>
      <w:bookmarkEnd w:id="120"/>
    </w:p>
    <w:p w14:paraId="07E9B790">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15.1</w:t>
      </w:r>
      <w:r>
        <w:rPr>
          <w:rFonts w:hint="eastAsia" w:ascii="宋体" w:hAnsi="宋体"/>
          <w:bCs/>
          <w:color w:val="000000" w:themeColor="text1"/>
          <w:sz w:val="24"/>
          <w:szCs w:val="24"/>
          <w:highlight w:val="none"/>
          <w14:textFill>
            <w14:solidFill>
              <w14:schemeClr w14:val="tx1"/>
            </w14:solidFill>
          </w14:textFill>
        </w:rPr>
        <w:t xml:space="preserve"> 投标有效期为采购人规定的开标之日后</w:t>
      </w:r>
      <w:r>
        <w:rPr>
          <w:rFonts w:hint="eastAsia" w:ascii="仿宋_GB2312" w:hAnsi="仿宋_GB2312"/>
          <w:b/>
          <w:color w:val="000000" w:themeColor="text1"/>
          <w:sz w:val="24"/>
          <w:szCs w:val="24"/>
          <w:highlight w:val="none"/>
          <w:u w:val="single"/>
          <w14:textFill>
            <w14:solidFill>
              <w14:schemeClr w14:val="tx1"/>
            </w14:solidFill>
          </w14:textFill>
        </w:rPr>
        <w:t>六十（60）天</w:t>
      </w:r>
      <w:r>
        <w:rPr>
          <w:rFonts w:hint="eastAsia" w:ascii="宋体" w:hAnsi="宋体"/>
          <w:bCs/>
          <w:color w:val="000000" w:themeColor="text1"/>
          <w:sz w:val="24"/>
          <w:szCs w:val="24"/>
          <w:highlight w:val="none"/>
          <w14:textFill>
            <w14:solidFill>
              <w14:schemeClr w14:val="tx1"/>
            </w14:solidFill>
          </w14:textFill>
        </w:rPr>
        <w:t>。投标有效期比规定短的将被视为未实质性响应招标</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bCs/>
          <w:color w:val="000000" w:themeColor="text1"/>
          <w:sz w:val="24"/>
          <w:szCs w:val="24"/>
          <w:highlight w:val="none"/>
          <w14:textFill>
            <w14:solidFill>
              <w14:schemeClr w14:val="tx1"/>
            </w14:solidFill>
          </w14:textFill>
        </w:rPr>
        <w:t>而予以拒绝。</w:t>
      </w:r>
    </w:p>
    <w:p w14:paraId="2E04E690">
      <w:pPr>
        <w:pStyle w:val="292"/>
        <w:spacing w:before="0" w:after="0" w:line="360" w:lineRule="auto"/>
        <w:ind w:firstLine="420"/>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16、投标有效期的延长</w:t>
      </w:r>
    </w:p>
    <w:p w14:paraId="730D7C9D">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16.1</w:t>
      </w:r>
      <w:r>
        <w:rPr>
          <w:rFonts w:hint="eastAsia" w:ascii="宋体" w:hAnsi="宋体"/>
          <w:bCs/>
          <w:color w:val="000000" w:themeColor="text1"/>
          <w:sz w:val="24"/>
          <w:szCs w:val="24"/>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szCs w:val="24"/>
          <w:highlight w:val="none"/>
          <w14:textFill>
            <w14:solidFill>
              <w14:schemeClr w14:val="tx1"/>
            </w14:solidFill>
          </w14:textFill>
        </w:rPr>
        <w:t>。</w:t>
      </w:r>
    </w:p>
    <w:p w14:paraId="3D439A60">
      <w:pPr>
        <w:pStyle w:val="295"/>
        <w:spacing w:before="145" w:after="145" w:line="360" w:lineRule="auto"/>
        <w:ind w:firstLine="482"/>
        <w:rPr>
          <w:color w:val="000000" w:themeColor="text1"/>
          <w:sz w:val="24"/>
          <w:szCs w:val="24"/>
          <w:highlight w:val="none"/>
          <w14:textFill>
            <w14:solidFill>
              <w14:schemeClr w14:val="tx1"/>
            </w14:solidFill>
          </w14:textFill>
        </w:rPr>
      </w:pPr>
      <w:bookmarkStart w:id="121" w:name="_Hlt26954852"/>
      <w:bookmarkEnd w:id="121"/>
      <w:bookmarkStart w:id="122" w:name="_Hlt26954739"/>
      <w:bookmarkEnd w:id="122"/>
      <w:bookmarkStart w:id="123" w:name="_Toc16938540"/>
      <w:bookmarkStart w:id="124" w:name="_Toc20823296"/>
      <w:bookmarkStart w:id="125" w:name="_Toc120614217"/>
      <w:bookmarkStart w:id="126" w:name="_Toc513029224"/>
      <w:r>
        <w:rPr>
          <w:rFonts w:hint="eastAsia"/>
          <w:color w:val="000000" w:themeColor="text1"/>
          <w:sz w:val="24"/>
          <w:szCs w:val="24"/>
          <w:highlight w:val="none"/>
          <w14:textFill>
            <w14:solidFill>
              <w14:schemeClr w14:val="tx1"/>
            </w14:solidFill>
          </w14:textFill>
        </w:rPr>
        <w:t>四、投标文件的递交</w:t>
      </w:r>
      <w:bookmarkEnd w:id="123"/>
      <w:bookmarkEnd w:id="124"/>
      <w:bookmarkEnd w:id="125"/>
      <w:bookmarkEnd w:id="126"/>
    </w:p>
    <w:p w14:paraId="1B97BEE0">
      <w:pPr>
        <w:pStyle w:val="292"/>
        <w:spacing w:before="0" w:after="0" w:line="360" w:lineRule="auto"/>
        <w:ind w:firstLine="560"/>
        <w:rPr>
          <w:rFonts w:ascii="黑体"/>
          <w:b w:val="0"/>
          <w:bCs w:val="0"/>
          <w:color w:val="000000" w:themeColor="text1"/>
          <w:sz w:val="24"/>
          <w:szCs w:val="24"/>
          <w:highlight w:val="none"/>
          <w14:textFill>
            <w14:solidFill>
              <w14:schemeClr w14:val="tx1"/>
            </w14:solidFill>
          </w14:textFill>
        </w:rPr>
      </w:pPr>
      <w:bookmarkStart w:id="127" w:name="_Toc16938541"/>
      <w:bookmarkStart w:id="128" w:name="_Toc20823297"/>
      <w:bookmarkStart w:id="129" w:name="_Toc462564084"/>
      <w:bookmarkStart w:id="130" w:name="_Toc513029225"/>
      <w:r>
        <w:rPr>
          <w:rFonts w:hint="eastAsia"/>
          <w:b w:val="0"/>
          <w:bCs w:val="0"/>
          <w:color w:val="000000" w:themeColor="text1"/>
          <w:sz w:val="24"/>
          <w:szCs w:val="24"/>
          <w:highlight w:val="none"/>
          <w14:textFill>
            <w14:solidFill>
              <w14:schemeClr w14:val="tx1"/>
            </w14:solidFill>
          </w14:textFill>
        </w:rPr>
        <w:t>17、</w:t>
      </w:r>
      <w:r>
        <w:rPr>
          <w:rFonts w:hint="eastAsia" w:ascii="黑体"/>
          <w:b w:val="0"/>
          <w:bCs w:val="0"/>
          <w:color w:val="000000" w:themeColor="text1"/>
          <w:sz w:val="24"/>
          <w:szCs w:val="24"/>
          <w:highlight w:val="none"/>
          <w14:textFill>
            <w14:solidFill>
              <w14:schemeClr w14:val="tx1"/>
            </w14:solidFill>
          </w14:textFill>
        </w:rPr>
        <w:t>投标文件</w:t>
      </w:r>
      <w:bookmarkEnd w:id="127"/>
      <w:bookmarkEnd w:id="128"/>
      <w:bookmarkEnd w:id="129"/>
      <w:bookmarkEnd w:id="130"/>
      <w:r>
        <w:rPr>
          <w:rFonts w:hint="eastAsia" w:ascii="黑体"/>
          <w:b w:val="0"/>
          <w:bCs w:val="0"/>
          <w:color w:val="000000" w:themeColor="text1"/>
          <w:sz w:val="24"/>
          <w:szCs w:val="24"/>
          <w:highlight w:val="none"/>
          <w14:textFill>
            <w14:solidFill>
              <w14:schemeClr w14:val="tx1"/>
            </w14:solidFill>
          </w14:textFill>
        </w:rPr>
        <w:t>的递交</w:t>
      </w:r>
    </w:p>
    <w:p w14:paraId="20BD130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17.1</w:t>
      </w:r>
      <w:r>
        <w:rPr>
          <w:rFonts w:hint="eastAsia" w:ascii="宋体" w:hAnsi="宋体"/>
          <w:bCs/>
          <w:color w:val="000000" w:themeColor="text1"/>
          <w:sz w:val="24"/>
          <w:szCs w:val="24"/>
          <w:highlight w:val="none"/>
          <w14:textFill>
            <w14:solidFill>
              <w14:schemeClr w14:val="tx1"/>
            </w14:solidFill>
          </w14:textFill>
        </w:rPr>
        <w:t xml:space="preserve"> 电子投标文件的递交</w:t>
      </w:r>
    </w:p>
    <w:p w14:paraId="473DFABB">
      <w:pPr>
        <w:pStyle w:val="296"/>
        <w:spacing w:line="360" w:lineRule="auto"/>
        <w:ind w:left="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投标人应当按照《操作手册》规定，在投标截止时间前</w:t>
      </w:r>
      <w:r>
        <w:rPr>
          <w:rFonts w:ascii="宋体" w:hAnsi="宋体"/>
          <w:bCs/>
          <w:color w:val="000000" w:themeColor="text1"/>
          <w:sz w:val="24"/>
          <w:szCs w:val="24"/>
          <w:highlight w:val="none"/>
          <w14:textFill>
            <w14:solidFill>
              <w14:schemeClr w14:val="tx1"/>
            </w14:solidFill>
          </w14:textFill>
        </w:rPr>
        <w:t>制作</w:t>
      </w:r>
      <w:r>
        <w:rPr>
          <w:rFonts w:hint="eastAsia" w:ascii="宋体" w:hAnsi="宋体"/>
          <w:bCs/>
          <w:color w:val="000000" w:themeColor="text1"/>
          <w:sz w:val="24"/>
          <w:szCs w:val="24"/>
          <w:highlight w:val="none"/>
          <w14:textFill>
            <w14:solidFill>
              <w14:schemeClr w14:val="tx1"/>
            </w14:solidFill>
          </w14:textFill>
        </w:rPr>
        <w:t>并上传电子投标文件。</w:t>
      </w:r>
      <w:bookmarkStart w:id="131" w:name="_Toc20823298"/>
      <w:bookmarkStart w:id="132" w:name="_Toc16938542"/>
      <w:bookmarkStart w:id="133" w:name="_Toc513029226"/>
    </w:p>
    <w:p w14:paraId="0070F458">
      <w:pPr>
        <w:pStyle w:val="292"/>
        <w:spacing w:line="360" w:lineRule="auto"/>
        <w:ind w:firstLine="420"/>
        <w:rPr>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18、投标截止</w:t>
      </w:r>
      <w:bookmarkEnd w:id="131"/>
      <w:bookmarkEnd w:id="132"/>
      <w:bookmarkEnd w:id="133"/>
      <w:r>
        <w:rPr>
          <w:rFonts w:hint="eastAsia"/>
          <w:b w:val="0"/>
          <w:color w:val="000000" w:themeColor="text1"/>
          <w:sz w:val="24"/>
          <w:szCs w:val="24"/>
          <w:highlight w:val="none"/>
          <w14:textFill>
            <w14:solidFill>
              <w14:schemeClr w14:val="tx1"/>
            </w14:solidFill>
          </w14:textFill>
        </w:rPr>
        <w:t>时间</w:t>
      </w:r>
    </w:p>
    <w:p w14:paraId="23DD6C08">
      <w:pPr>
        <w:spacing w:line="360" w:lineRule="auto"/>
        <w:ind w:firstLine="480"/>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18.1</w:t>
      </w:r>
      <w:r>
        <w:rPr>
          <w:rFonts w:hint="eastAsia" w:ascii="宋体" w:hAnsi="宋体"/>
          <w:bCs/>
          <w:i/>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p>
    <w:p w14:paraId="1C340CF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投标人应充分考虑到网络环境、网络带宽等风险因素，如因投标人自身原因造成的电子投标文件上传不成功的按照本招标文件第二章第26.1.2条 规定做无效投标处理。</w:t>
      </w:r>
    </w:p>
    <w:p w14:paraId="1428269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18.2</w:t>
      </w:r>
      <w:r>
        <w:rPr>
          <w:rFonts w:hint="eastAsia" w:ascii="宋体" w:hAnsi="宋体"/>
          <w:bCs/>
          <w:color w:val="000000" w:themeColor="text1"/>
          <w:sz w:val="24"/>
          <w:szCs w:val="24"/>
          <w:highlight w:val="none"/>
          <w14:textFill>
            <w14:solidFill>
              <w14:schemeClr w14:val="tx1"/>
            </w14:solidFill>
          </w14:textFill>
        </w:rPr>
        <w:t xml:space="preserve"> 采购人可以按照规定，通过修改招标文件酌情延长投标截止时间，在此情况下，投标人的所有权利和义务以及投标人受制的截止时间均应以延长后新的截止时间为准。</w:t>
      </w:r>
    </w:p>
    <w:p w14:paraId="2FECF7CF">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34" w:name="_Toc513029227"/>
      <w:bookmarkStart w:id="135" w:name="_Toc16938543"/>
      <w:bookmarkStart w:id="136" w:name="_Toc20823299"/>
      <w:r>
        <w:rPr>
          <w:rFonts w:hint="eastAsia"/>
          <w:b w:val="0"/>
          <w:bCs w:val="0"/>
          <w:color w:val="000000" w:themeColor="text1"/>
          <w:sz w:val="24"/>
          <w:szCs w:val="24"/>
          <w:highlight w:val="none"/>
          <w14:textFill>
            <w14:solidFill>
              <w14:schemeClr w14:val="tx1"/>
            </w14:solidFill>
          </w14:textFill>
        </w:rPr>
        <w:t>19、投标文件</w:t>
      </w:r>
      <w:bookmarkEnd w:id="134"/>
      <w:bookmarkEnd w:id="135"/>
      <w:bookmarkEnd w:id="136"/>
      <w:r>
        <w:rPr>
          <w:rFonts w:hint="eastAsia"/>
          <w:b w:val="0"/>
          <w:bCs w:val="0"/>
          <w:color w:val="000000" w:themeColor="text1"/>
          <w:sz w:val="24"/>
          <w:szCs w:val="24"/>
          <w:highlight w:val="none"/>
          <w14:textFill>
            <w14:solidFill>
              <w14:schemeClr w14:val="tx1"/>
            </w14:solidFill>
          </w14:textFill>
        </w:rPr>
        <w:t>的拒收</w:t>
      </w:r>
    </w:p>
    <w:p w14:paraId="3F004CFD">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19.1</w:t>
      </w:r>
      <w:r>
        <w:rPr>
          <w:rFonts w:hint="eastAsia" w:ascii="宋体" w:hAnsi="宋体"/>
          <w:bCs/>
          <w:color w:val="000000" w:themeColor="text1"/>
          <w:sz w:val="24"/>
          <w:szCs w:val="24"/>
          <w:highlight w:val="none"/>
          <w14:textFill>
            <w14:solidFill>
              <w14:schemeClr w14:val="tx1"/>
            </w14:solidFill>
          </w14:textFill>
        </w:rPr>
        <w:t>采购人拒绝接收在其规定的投标截止时间后上传的任何投标文件。</w:t>
      </w:r>
    </w:p>
    <w:p w14:paraId="3AF73EC1">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37" w:name="_Toc16938544"/>
      <w:bookmarkStart w:id="138" w:name="_Toc20823300"/>
      <w:bookmarkStart w:id="139" w:name="_Toc513029228"/>
      <w:r>
        <w:rPr>
          <w:rFonts w:hint="eastAsia"/>
          <w:b w:val="0"/>
          <w:bCs w:val="0"/>
          <w:color w:val="000000" w:themeColor="text1"/>
          <w:sz w:val="24"/>
          <w:szCs w:val="24"/>
          <w:highlight w:val="none"/>
          <w14:textFill>
            <w14:solidFill>
              <w14:schemeClr w14:val="tx1"/>
            </w14:solidFill>
          </w14:textFill>
        </w:rPr>
        <w:t>20、投标文件的撤回和修改</w:t>
      </w:r>
      <w:bookmarkEnd w:id="137"/>
      <w:bookmarkEnd w:id="138"/>
      <w:bookmarkEnd w:id="139"/>
    </w:p>
    <w:p w14:paraId="0447CC7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20.1 投标文件的撤回</w:t>
      </w:r>
    </w:p>
    <w:p w14:paraId="1CDA571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21.1.1 电子投标文件的撤回</w:t>
      </w:r>
    </w:p>
    <w:p w14:paraId="748CB39A">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投标人可在投标截止时间前，撤回其电子投标文件，具体操作方法见《操作手册》。</w:t>
      </w:r>
    </w:p>
    <w:p w14:paraId="373D29F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p>
    <w:p w14:paraId="101755A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 投标文件的修改</w:t>
      </w:r>
    </w:p>
    <w:p w14:paraId="2415EA7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20.2.1投标人可在投标截止时间前，对其电子投标文件进行修改，具体操作方法见《操作手册》。</w:t>
      </w:r>
    </w:p>
    <w:p w14:paraId="1F18263D">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20.2.2</w:t>
      </w:r>
      <w:r>
        <w:rPr>
          <w:rFonts w:hint="eastAsia" w:ascii="宋体" w:hAnsi="宋体"/>
          <w:bCs/>
          <w:color w:val="000000" w:themeColor="text1"/>
          <w:sz w:val="24"/>
          <w:szCs w:val="24"/>
          <w:highlight w:val="none"/>
          <w14:textFill>
            <w14:solidFill>
              <w14:schemeClr w14:val="tx1"/>
            </w14:solidFill>
          </w14:textFill>
        </w:rPr>
        <w:t xml:space="preserve"> 在投标截止时间之后，投标人不得对其电子投标文件作任何修改。</w:t>
      </w:r>
    </w:p>
    <w:p w14:paraId="2146F9D0">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20.3</w:t>
      </w:r>
      <w:r>
        <w:rPr>
          <w:rFonts w:hint="eastAsia" w:ascii="宋体" w:hAnsi="宋体"/>
          <w:bCs/>
          <w:color w:val="000000" w:themeColor="text1"/>
          <w:sz w:val="24"/>
          <w:szCs w:val="24"/>
          <w:highlight w:val="none"/>
          <w14:textFill>
            <w14:solidFill>
              <w14:schemeClr w14:val="tx1"/>
            </w14:solidFill>
          </w14:textFill>
        </w:rPr>
        <w:t xml:space="preserve"> 在投标截止时间至招标文件中规定的投标有效期满之间的这段时间内，投标人不得撤回其投标。</w:t>
      </w:r>
    </w:p>
    <w:p w14:paraId="7A3E167E">
      <w:pPr>
        <w:pStyle w:val="295"/>
        <w:spacing w:before="145" w:after="145" w:line="360" w:lineRule="auto"/>
        <w:ind w:firstLine="482"/>
        <w:rPr>
          <w:color w:val="000000" w:themeColor="text1"/>
          <w:sz w:val="24"/>
          <w:szCs w:val="24"/>
          <w:highlight w:val="none"/>
          <w14:textFill>
            <w14:solidFill>
              <w14:schemeClr w14:val="tx1"/>
            </w14:solidFill>
          </w14:textFill>
        </w:rPr>
      </w:pPr>
      <w:bookmarkStart w:id="140" w:name="_Toc513029229"/>
      <w:bookmarkStart w:id="141" w:name="_Toc20823301"/>
      <w:bookmarkStart w:id="142" w:name="_Toc120614218"/>
      <w:bookmarkStart w:id="143" w:name="_Toc16938545"/>
      <w:r>
        <w:rPr>
          <w:rFonts w:hint="eastAsia"/>
          <w:color w:val="000000" w:themeColor="text1"/>
          <w:sz w:val="24"/>
          <w:szCs w:val="24"/>
          <w:highlight w:val="none"/>
          <w14:textFill>
            <w14:solidFill>
              <w14:schemeClr w14:val="tx1"/>
            </w14:solidFill>
          </w14:textFill>
        </w:rPr>
        <w:t>五、开标与评标</w:t>
      </w:r>
      <w:bookmarkEnd w:id="140"/>
      <w:bookmarkEnd w:id="141"/>
      <w:bookmarkEnd w:id="142"/>
      <w:bookmarkEnd w:id="143"/>
    </w:p>
    <w:p w14:paraId="009E25BE">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44" w:name="_Toc513029230"/>
      <w:bookmarkStart w:id="145" w:name="_Toc16938546"/>
      <w:bookmarkStart w:id="146" w:name="_Toc20823302"/>
      <w:r>
        <w:rPr>
          <w:rFonts w:hint="eastAsia"/>
          <w:b w:val="0"/>
          <w:bCs w:val="0"/>
          <w:color w:val="000000" w:themeColor="text1"/>
          <w:sz w:val="24"/>
          <w:szCs w:val="24"/>
          <w:highlight w:val="none"/>
          <w14:textFill>
            <w14:solidFill>
              <w14:schemeClr w14:val="tx1"/>
            </w14:solidFill>
          </w14:textFill>
        </w:rPr>
        <w:t>21、开标</w:t>
      </w:r>
      <w:bookmarkEnd w:id="144"/>
      <w:bookmarkEnd w:id="145"/>
      <w:bookmarkEnd w:id="146"/>
    </w:p>
    <w:p w14:paraId="1E7A30B8">
      <w:pPr>
        <w:spacing w:line="360" w:lineRule="auto"/>
        <w:ind w:firstLine="36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hint="eastAsia" w:ascii="宋体" w:hAnsi="宋体"/>
          <w:bCs/>
          <w:color w:val="000000" w:themeColor="text1"/>
          <w:sz w:val="24"/>
          <w:szCs w:val="24"/>
          <w:highlight w:val="none"/>
          <w14:textFill>
            <w14:solidFill>
              <w14:schemeClr w14:val="tx1"/>
            </w14:solidFill>
          </w14:textFill>
        </w:rPr>
        <w:t xml:space="preserve"> 采购人将在招标公告中规定的时间和地点组织公开开标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。投标人应当按照《操作手册》规定，</w:t>
      </w:r>
      <w:r>
        <w:rPr>
          <w:rFonts w:ascii="宋体" w:hAnsi="宋体"/>
          <w:color w:val="000000" w:themeColor="text1"/>
          <w:sz w:val="24"/>
          <w:szCs w:val="24"/>
          <w:highlight w:val="none"/>
          <w14:textFill>
            <w14:solidFill>
              <w14:schemeClr w14:val="tx1"/>
            </w14:solidFill>
          </w14:textFill>
        </w:rPr>
        <w:t>参加开标活动</w:t>
      </w:r>
      <w:r>
        <w:rPr>
          <w:rFonts w:hint="eastAsia" w:ascii="宋体" w:hAnsi="宋体"/>
          <w:color w:val="000000" w:themeColor="text1"/>
          <w:sz w:val="24"/>
          <w:szCs w:val="24"/>
          <w:highlight w:val="none"/>
          <w14:textFill>
            <w14:solidFill>
              <w14:schemeClr w14:val="tx1"/>
            </w14:solidFill>
          </w14:textFill>
        </w:rPr>
        <w:t>和在苏采云系统规定的时间内对投标文件进行解密。</w:t>
      </w:r>
    </w:p>
    <w:p w14:paraId="2A5249E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21.2</w:t>
      </w:r>
      <w:r>
        <w:rPr>
          <w:rFonts w:hint="eastAsia" w:ascii="宋体" w:hAnsi="宋体"/>
          <w:color w:val="000000" w:themeColor="text1"/>
          <w:sz w:val="24"/>
          <w:szCs w:val="24"/>
          <w:highlight w:val="none"/>
          <w14:textFill>
            <w14:solidFill>
              <w14:schemeClr w14:val="tx1"/>
            </w14:solidFill>
          </w14:textFill>
        </w:rPr>
        <w:t>开标仪式由采购人组织。苏采云系统将自动对</w:t>
      </w:r>
      <w:r>
        <w:rPr>
          <w:rFonts w:ascii="宋体" w:hAnsi="宋体"/>
          <w:color w:val="000000" w:themeColor="text1"/>
          <w:sz w:val="24"/>
          <w:szCs w:val="24"/>
          <w:highlight w:val="none"/>
          <w14:textFill>
            <w14:solidFill>
              <w14:schemeClr w14:val="tx1"/>
            </w14:solidFill>
          </w14:textFill>
        </w:rPr>
        <w:t>项目进行开标，并</w:t>
      </w:r>
      <w:r>
        <w:rPr>
          <w:rFonts w:hint="eastAsia" w:ascii="宋体" w:hAnsi="宋体"/>
          <w:color w:val="000000" w:themeColor="text1"/>
          <w:sz w:val="24"/>
          <w:szCs w:val="24"/>
          <w:highlight w:val="none"/>
          <w14:textFill>
            <w14:solidFill>
              <w14:schemeClr w14:val="tx1"/>
            </w14:solidFill>
          </w14:textFill>
        </w:rPr>
        <w:t>宣布各</w:t>
      </w:r>
      <w:r>
        <w:rPr>
          <w:rFonts w:ascii="宋体" w:hAnsi="宋体"/>
          <w:color w:val="000000" w:themeColor="text1"/>
          <w:sz w:val="24"/>
          <w:szCs w:val="24"/>
          <w:highlight w:val="none"/>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名称和投标价格。</w:t>
      </w:r>
    </w:p>
    <w:p w14:paraId="760935A1">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21.3投标人在开标过程中涉及到的投标文件解密、开标结果确认等工作，应按照《操作手册》规定执行。</w:t>
      </w:r>
    </w:p>
    <w:p w14:paraId="3C9B606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21.4投标人如果对开标过程和开标记录有疑义，应当根据《操作手册》规定提出，如 苏采云系统中《开标记录表》宣布后5分钟内未提出的，视同认可开标结果。</w:t>
      </w:r>
    </w:p>
    <w:p w14:paraId="68254996">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47" w:name="_Toc513029231"/>
      <w:bookmarkStart w:id="148" w:name="_Toc16938547"/>
      <w:bookmarkStart w:id="149" w:name="_Toc20823303"/>
      <w:r>
        <w:rPr>
          <w:rFonts w:hint="eastAsia"/>
          <w:b w:val="0"/>
          <w:bCs w:val="0"/>
          <w:color w:val="000000" w:themeColor="text1"/>
          <w:sz w:val="24"/>
          <w:szCs w:val="24"/>
          <w:highlight w:val="none"/>
          <w14:textFill>
            <w14:solidFill>
              <w14:schemeClr w14:val="tx1"/>
            </w14:solidFill>
          </w14:textFill>
        </w:rPr>
        <w:t>22、评标委员会</w:t>
      </w:r>
    </w:p>
    <w:p w14:paraId="09812F43">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开标后，采购人将立即组织评标委员会（以下简称评委会）进行评标。</w:t>
      </w:r>
    </w:p>
    <w:p w14:paraId="59889D18">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p>
    <w:p w14:paraId="1B2D6B0A">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22.3评委会独立工作，负责评审所有投标文件并确定中标侯选人。</w:t>
      </w:r>
    </w:p>
    <w:p w14:paraId="3DB3ED63">
      <w:pPr>
        <w:pStyle w:val="292"/>
        <w:spacing w:before="0" w:after="0" w:line="360" w:lineRule="auto"/>
        <w:ind w:firstLine="420"/>
        <w:rPr>
          <w:rFonts w:ascii="黑体"/>
          <w:b w:val="0"/>
          <w:bCs w:val="0"/>
          <w:color w:val="000000" w:themeColor="text1"/>
          <w:sz w:val="24"/>
          <w:szCs w:val="24"/>
          <w:highlight w:val="none"/>
          <w14:textFill>
            <w14:solidFill>
              <w14:schemeClr w14:val="tx1"/>
            </w14:solidFill>
          </w14:textFill>
        </w:rPr>
      </w:pPr>
      <w:r>
        <w:rPr>
          <w:rFonts w:hint="eastAsia" w:ascii="黑体"/>
          <w:b w:val="0"/>
          <w:bCs w:val="0"/>
          <w:color w:val="000000" w:themeColor="text1"/>
          <w:sz w:val="24"/>
          <w:szCs w:val="24"/>
          <w:highlight w:val="none"/>
          <w14:textFill>
            <w14:solidFill>
              <w14:schemeClr w14:val="tx1"/>
            </w14:solidFill>
          </w14:textFill>
        </w:rPr>
        <w:t>23、评标过程的保密与公正</w:t>
      </w:r>
      <w:bookmarkEnd w:id="147"/>
      <w:bookmarkEnd w:id="148"/>
      <w:bookmarkEnd w:id="149"/>
    </w:p>
    <w:p w14:paraId="0EBD2B46">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23.1</w:t>
      </w:r>
      <w:r>
        <w:rPr>
          <w:rFonts w:hint="eastAsia" w:ascii="宋体" w:hAnsi="宋体"/>
          <w:bCs/>
          <w:color w:val="000000" w:themeColor="text1"/>
          <w:sz w:val="24"/>
          <w:szCs w:val="24"/>
          <w:highlight w:val="none"/>
          <w14:textFill>
            <w14:solidFill>
              <w14:schemeClr w14:val="tx1"/>
            </w14:solidFill>
          </w14:textFill>
        </w:rPr>
        <w:t>凡是与审查、澄清、评价和比较投标的有关资料以及授标建议等，采购人、评委均不得向投标人或与评标无关的其他人员透露。</w:t>
      </w:r>
    </w:p>
    <w:p w14:paraId="07E3CF9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23.2在评标过程中，投标人不得以任何行为影响评标过程，否则其投标文件将被作为无效投标文件。</w:t>
      </w:r>
    </w:p>
    <w:p w14:paraId="47846FB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w:t>
      </w:r>
      <w:r>
        <w:rPr>
          <w:rFonts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 xml:space="preserve"> 采购人和评标委员会不向未中标的投标人解释未中标原因，也不公布评标过程中的相关细节。</w:t>
      </w:r>
    </w:p>
    <w:p w14:paraId="3CA45D7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 采用综合评分法的项目，未中标的投标人可于中标结果公告期限届满之日起通过苏采云系统查看自己的评审得分及排序情况。</w:t>
      </w:r>
    </w:p>
    <w:p w14:paraId="5ACB3713">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50" w:name="_Toc20823304"/>
      <w:bookmarkStart w:id="151" w:name="_Toc16938548"/>
      <w:bookmarkStart w:id="152" w:name="_Toc513029232"/>
      <w:r>
        <w:rPr>
          <w:rFonts w:hint="eastAsia"/>
          <w:b w:val="0"/>
          <w:bCs w:val="0"/>
          <w:color w:val="000000" w:themeColor="text1"/>
          <w:sz w:val="24"/>
          <w:szCs w:val="24"/>
          <w:highlight w:val="none"/>
          <w14:textFill>
            <w14:solidFill>
              <w14:schemeClr w14:val="tx1"/>
            </w14:solidFill>
          </w14:textFill>
        </w:rPr>
        <w:t>24、投标文件的澄清</w:t>
      </w:r>
      <w:bookmarkEnd w:id="150"/>
      <w:bookmarkEnd w:id="151"/>
      <w:bookmarkEnd w:id="152"/>
    </w:p>
    <w:p w14:paraId="5597AB7C">
      <w:pPr>
        <w:spacing w:line="360" w:lineRule="auto"/>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，有权要求投标人作出必要的澄清、说明或者补正。</w:t>
      </w:r>
    </w:p>
    <w:p w14:paraId="36FE667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29B3184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w:t>
      </w:r>
      <w:r>
        <w:rPr>
          <w:rFonts w:ascii="宋体" w:hAnsi="宋体"/>
          <w:color w:val="000000" w:themeColor="text1"/>
          <w:sz w:val="24"/>
          <w:szCs w:val="24"/>
          <w:highlight w:val="none"/>
          <w14:textFill>
            <w14:solidFill>
              <w14:schemeClr w14:val="tx1"/>
            </w14:solidFill>
          </w14:textFill>
        </w:rPr>
        <w:t>委员会并非对每个投标人都做澄清要求</w:t>
      </w:r>
      <w:r>
        <w:rPr>
          <w:rFonts w:hint="eastAsia" w:ascii="宋体" w:hAnsi="宋体"/>
          <w:color w:val="000000" w:themeColor="text1"/>
          <w:sz w:val="24"/>
          <w:szCs w:val="24"/>
          <w:highlight w:val="none"/>
          <w14:textFill>
            <w14:solidFill>
              <w14:schemeClr w14:val="tx1"/>
            </w14:solidFill>
          </w14:textFill>
        </w:rPr>
        <w:t>。</w:t>
      </w:r>
    </w:p>
    <w:p w14:paraId="1702C5A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B90628C">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24.3 接到评委会澄清、说明和补正要求的投标人如未按规定做出澄清、说明和补正，其风险由投标人自行承担。</w:t>
      </w:r>
    </w:p>
    <w:p w14:paraId="30AA32A8">
      <w:pPr>
        <w:pStyle w:val="292"/>
        <w:spacing w:before="0" w:after="0" w:line="360" w:lineRule="auto"/>
        <w:ind w:firstLine="420"/>
        <w:rPr>
          <w:b w:val="0"/>
          <w:bCs w:val="0"/>
          <w:color w:val="000000" w:themeColor="text1"/>
          <w:sz w:val="24"/>
          <w:szCs w:val="24"/>
          <w:highlight w:val="none"/>
          <w14:textFill>
            <w14:solidFill>
              <w14:schemeClr w14:val="tx1"/>
            </w14:solidFill>
          </w14:textFill>
        </w:rPr>
      </w:pPr>
      <w:bookmarkStart w:id="153" w:name="_Toc513029233"/>
      <w:bookmarkStart w:id="154" w:name="_Toc16938549"/>
      <w:bookmarkStart w:id="155" w:name="_Toc20823305"/>
      <w:r>
        <w:rPr>
          <w:rFonts w:hint="eastAsia"/>
          <w:b w:val="0"/>
          <w:bCs w:val="0"/>
          <w:color w:val="000000" w:themeColor="text1"/>
          <w:sz w:val="24"/>
          <w:szCs w:val="24"/>
          <w:highlight w:val="none"/>
          <w14:textFill>
            <w14:solidFill>
              <w14:schemeClr w14:val="tx1"/>
            </w14:solidFill>
          </w14:textFill>
        </w:rPr>
        <w:t>25、对投标文件的初审</w:t>
      </w:r>
      <w:bookmarkEnd w:id="153"/>
      <w:bookmarkEnd w:id="154"/>
      <w:bookmarkEnd w:id="155"/>
    </w:p>
    <w:p w14:paraId="5D47C2D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25.1</w:t>
      </w:r>
      <w:r>
        <w:rPr>
          <w:rFonts w:hint="eastAsia" w:ascii="宋体" w:hAnsi="宋体"/>
          <w:bCs/>
          <w:color w:val="000000" w:themeColor="text1"/>
          <w:sz w:val="24"/>
          <w:szCs w:val="24"/>
          <w:highlight w:val="none"/>
          <w14:textFill>
            <w14:solidFill>
              <w14:schemeClr w14:val="tx1"/>
            </w14:solidFill>
          </w14:textFill>
        </w:rPr>
        <w:t>投标文件初审分为资格审查和符合性审查。</w:t>
      </w:r>
    </w:p>
    <w:p w14:paraId="549B7C21">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25.1.1 资格审查：依据法律法规和招标文件的规定，由采购人对投标文件中的资格证明文件进行审查。资格审查的结论，采购人以书面形式向评委会进行反馈。</w:t>
      </w:r>
    </w:p>
    <w:p w14:paraId="433149A7">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6E3000C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接受联合体的项目，两个以上的自然人、法人或者其他组织组成一个联合体，以一个供应商的身份共同参加政府采购活动的,联合体成员存在不良信用记录的，视同联合体存在不良应用记录。</w:t>
      </w:r>
    </w:p>
    <w:p w14:paraId="0BB615D8">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25.1.2 符合性审查：依据招标文件的规定，由评委会从投标文件的有效性、完整性和对招标文件的响应程度进行审查，以确定是否对招标文件的实质性要求作出响应。</w:t>
      </w:r>
    </w:p>
    <w:p w14:paraId="6D9D2031">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25.</w:t>
      </w:r>
      <w:r>
        <w:rPr>
          <w:rFonts w:ascii="宋体" w:hAnsi="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3 未通过资格审查或符合性审查的投标人，采购人将在</w:t>
      </w:r>
      <w:r>
        <w:rPr>
          <w:rFonts w:hint="eastAsia" w:ascii="宋体" w:hAnsi="宋体"/>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szCs w:val="24"/>
          <w:highlight w:val="none"/>
          <w14:textFill>
            <w14:solidFill>
              <w14:schemeClr w14:val="tx1"/>
            </w14:solidFill>
          </w14:textFill>
        </w:rPr>
        <w:t>中告知未通过资格审查或符合性审查的原因，</w:t>
      </w:r>
      <w:r>
        <w:rPr>
          <w:rFonts w:ascii="宋体" w:hAnsi="宋体"/>
          <w:bCs/>
          <w:color w:val="000000" w:themeColor="text1"/>
          <w:sz w:val="24"/>
          <w:szCs w:val="24"/>
          <w:highlight w:val="none"/>
          <w14:textFill>
            <w14:solidFill>
              <w14:schemeClr w14:val="tx1"/>
            </w14:solidFill>
          </w14:textFill>
        </w:rPr>
        <w:t>评标结束后，</w:t>
      </w:r>
      <w:r>
        <w:rPr>
          <w:rFonts w:hint="eastAsia" w:ascii="宋体" w:hAnsi="宋体"/>
          <w:bCs/>
          <w:color w:val="000000" w:themeColor="text1"/>
          <w:sz w:val="24"/>
          <w:szCs w:val="24"/>
          <w:highlight w:val="none"/>
          <w14:textFill>
            <w14:solidFill>
              <w14:schemeClr w14:val="tx1"/>
            </w14:solidFill>
          </w14:textFill>
        </w:rPr>
        <w:t>采购人</w:t>
      </w:r>
      <w:r>
        <w:rPr>
          <w:rFonts w:ascii="宋体" w:hAnsi="宋体"/>
          <w:bCs/>
          <w:color w:val="000000" w:themeColor="text1"/>
          <w:sz w:val="24"/>
          <w:szCs w:val="24"/>
          <w:highlight w:val="none"/>
          <w14:textFill>
            <w14:solidFill>
              <w14:schemeClr w14:val="tx1"/>
            </w14:solidFill>
          </w14:textFill>
        </w:rPr>
        <w:t>将不再告知未通过资格审查和</w:t>
      </w:r>
      <w:r>
        <w:rPr>
          <w:rFonts w:hint="eastAsia" w:ascii="宋体" w:hAnsi="宋体"/>
          <w:bCs/>
          <w:color w:val="000000" w:themeColor="text1"/>
          <w:sz w:val="24"/>
          <w:szCs w:val="24"/>
          <w:highlight w:val="none"/>
          <w14:textFill>
            <w14:solidFill>
              <w14:schemeClr w14:val="tx1"/>
            </w14:solidFill>
          </w14:textFill>
        </w:rPr>
        <w:t>符合性</w:t>
      </w:r>
      <w:r>
        <w:rPr>
          <w:rFonts w:ascii="宋体" w:hAnsi="宋体"/>
          <w:bCs/>
          <w:color w:val="000000" w:themeColor="text1"/>
          <w:sz w:val="24"/>
          <w:szCs w:val="24"/>
          <w:highlight w:val="none"/>
          <w14:textFill>
            <w14:solidFill>
              <w14:schemeClr w14:val="tx1"/>
            </w14:solidFill>
          </w14:textFill>
        </w:rPr>
        <w:t>审查的原因。</w:t>
      </w:r>
    </w:p>
    <w:p w14:paraId="67B69E9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36DD3BA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D246F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.3如果投标文件实质上没有响应招标文件的要求，评委会将予以拒绝，投标人不得通过修改或撤销不合要求的偏离或保留而使其投标成为实质性响应的投标。</w:t>
      </w:r>
    </w:p>
    <w:p w14:paraId="0E3AE66D">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25.</w:t>
      </w:r>
      <w:r>
        <w:rPr>
          <w:rFonts w:ascii="宋体" w:hAnsi="宋体"/>
          <w:color w:val="000000" w:themeColor="text1"/>
          <w:sz w:val="24"/>
          <w:szCs w:val="24"/>
          <w:highlight w:val="none"/>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评委会将对确定为实质性响应的投标进行进一步审核，确定其是否有计算上或累加上的算术错误，修正错误的原则如下：</w:t>
      </w:r>
    </w:p>
    <w:p w14:paraId="47DABBBD">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（1）投标文件中开标一览表内容与投标文件中相应内容不一致的，以开标一览表为准。</w:t>
      </w:r>
    </w:p>
    <w:p w14:paraId="046A337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（2）大写金额和小写金额不一致的，以大写金额为准。</w:t>
      </w:r>
    </w:p>
    <w:p w14:paraId="5A48A6A0">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58E9C313">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（4）总价金额与按单价汇总金额不一致的，以单价金额计算结果为准。</w:t>
      </w:r>
    </w:p>
    <w:p w14:paraId="2227710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同时出现两种以上错误的，按照前款规定的顺序修正。</w:t>
      </w:r>
    </w:p>
    <w:p w14:paraId="2E22203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25.</w:t>
      </w:r>
      <w:r>
        <w:rPr>
          <w:rFonts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szCs w:val="24"/>
          <w:highlight w:val="none"/>
          <w14:textFill>
            <w14:solidFill>
              <w14:schemeClr w14:val="tx1"/>
            </w14:solidFill>
          </w14:textFill>
        </w:rPr>
        <w:t>通过</w:t>
      </w:r>
      <w:r>
        <w:rPr>
          <w:rFonts w:hint="eastAsia" w:ascii="宋体" w:hAnsi="宋体"/>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szCs w:val="24"/>
          <w:highlight w:val="none"/>
          <w14:textFill>
            <w14:solidFill>
              <w14:schemeClr w14:val="tx1"/>
            </w14:solidFill>
          </w14:textFill>
        </w:rPr>
        <w:t>告知</w:t>
      </w:r>
      <w:r>
        <w:rPr>
          <w:rFonts w:ascii="宋体" w:hAnsi="宋体"/>
          <w:bCs/>
          <w:color w:val="000000" w:themeColor="text1"/>
          <w:sz w:val="24"/>
          <w:szCs w:val="24"/>
          <w:highlight w:val="none"/>
          <w14:textFill>
            <w14:solidFill>
              <w14:schemeClr w14:val="tx1"/>
            </w14:solidFill>
          </w14:textFill>
        </w:rPr>
        <w:t>投标人，</w:t>
      </w:r>
      <w:r>
        <w:rPr>
          <w:rFonts w:hint="eastAsia" w:ascii="宋体" w:hAnsi="宋体"/>
          <w:bCs/>
          <w:color w:val="000000" w:themeColor="text1"/>
          <w:sz w:val="24"/>
          <w:szCs w:val="24"/>
          <w:highlight w:val="none"/>
          <w14:textFill>
            <w14:solidFill>
              <w14:schemeClr w14:val="tx1"/>
            </w14:solidFill>
          </w14:textFill>
        </w:rPr>
        <w:t>调整后的价格应对投标人具有约束力。如果投标人不接受修正后的价格，则其投标将被拒绝。</w:t>
      </w:r>
    </w:p>
    <w:p w14:paraId="5E96F966">
      <w:pPr>
        <w:spacing w:line="360" w:lineRule="auto"/>
        <w:ind w:firstLine="420"/>
        <w:rPr>
          <w:rFonts w:ascii="宋体" w:hAnsi="宋体"/>
          <w:color w:val="000000" w:themeColor="text1"/>
          <w:sz w:val="24"/>
          <w:szCs w:val="24"/>
          <w:highlight w:val="none"/>
          <w14:textFill>
            <w14:solidFill>
              <w14:schemeClr w14:val="tx1"/>
            </w14:solidFill>
          </w14:textFill>
        </w:rPr>
      </w:pPr>
      <w:bookmarkStart w:id="156" w:name="_Toc20823306"/>
      <w:bookmarkStart w:id="157" w:name="_Toc16938550"/>
      <w:bookmarkStart w:id="158" w:name="_Toc513029234"/>
      <w:r>
        <w:rPr>
          <w:rFonts w:hint="eastAsia" w:ascii="宋体" w:hAnsi="宋体"/>
          <w:color w:val="000000" w:themeColor="text1"/>
          <w:sz w:val="24"/>
          <w:szCs w:val="24"/>
          <w:highlight w:val="none"/>
          <w14:textFill>
            <w14:solidFill>
              <w14:schemeClr w14:val="tx1"/>
            </w14:solidFill>
          </w14:textFill>
        </w:rPr>
        <w:t>25.6投标人在开、评标全过程中应保持通讯畅通，及时登录苏采云系统查阅</w:t>
      </w:r>
      <w:r>
        <w:rPr>
          <w:rFonts w:ascii="宋体" w:hAnsi="宋体"/>
          <w:color w:val="000000" w:themeColor="text1"/>
          <w:sz w:val="24"/>
          <w:szCs w:val="24"/>
          <w:highlight w:val="none"/>
          <w14:textFill>
            <w14:solidFill>
              <w14:schemeClr w14:val="tx1"/>
            </w14:solidFill>
          </w14:textFill>
        </w:rPr>
        <w:t>、答复相关</w:t>
      </w:r>
      <w:r>
        <w:rPr>
          <w:rFonts w:hint="eastAsia" w:ascii="宋体" w:hAnsi="宋体"/>
          <w:color w:val="000000" w:themeColor="text1"/>
          <w:sz w:val="24"/>
          <w:szCs w:val="24"/>
          <w:highlight w:val="none"/>
          <w14:textFill>
            <w14:solidFill>
              <w14:schemeClr w14:val="tx1"/>
            </w14:solidFill>
          </w14:textFill>
        </w:rPr>
        <w:t>信息</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并安排专人与采购人及评标委员会联系。</w:t>
      </w:r>
    </w:p>
    <w:p w14:paraId="04BF041F">
      <w:pPr>
        <w:pStyle w:val="292"/>
        <w:spacing w:before="0" w:after="0" w:line="360" w:lineRule="auto"/>
        <w:ind w:firstLine="420"/>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26、</w:t>
      </w:r>
      <w:bookmarkEnd w:id="156"/>
      <w:bookmarkEnd w:id="157"/>
      <w:bookmarkEnd w:id="158"/>
      <w:r>
        <w:rPr>
          <w:rFonts w:hint="eastAsia"/>
          <w:b w:val="0"/>
          <w:bCs w:val="0"/>
          <w:color w:val="000000" w:themeColor="text1"/>
          <w:sz w:val="24"/>
          <w:szCs w:val="24"/>
          <w:highlight w:val="none"/>
          <w14:textFill>
            <w14:solidFill>
              <w14:schemeClr w14:val="tx1"/>
            </w14:solidFill>
          </w14:textFill>
        </w:rPr>
        <w:t>无效投标条款和废标条款</w:t>
      </w:r>
    </w:p>
    <w:p w14:paraId="2D4BCDB1">
      <w:pPr>
        <w:spacing w:line="360" w:lineRule="auto"/>
        <w:ind w:left="479"/>
        <w:rPr>
          <w:rFonts w:ascii="宋体" w:hAnsi="宋体"/>
          <w:bCs/>
          <w:color w:val="000000" w:themeColor="text1"/>
          <w:sz w:val="24"/>
          <w:szCs w:val="24"/>
          <w:highlight w:val="none"/>
          <w14:textFill>
            <w14:solidFill>
              <w14:schemeClr w14:val="tx1"/>
            </w14:solidFill>
          </w14:textFill>
        </w:rPr>
      </w:pPr>
      <w:bookmarkStart w:id="159" w:name="_Toc16938551"/>
      <w:bookmarkStart w:id="160" w:name="_Toc20823307"/>
      <w:bookmarkStart w:id="161" w:name="_Toc513029235"/>
      <w:r>
        <w:rPr>
          <w:rFonts w:hint="eastAsia" w:ascii="宋体" w:hAnsi="宋体"/>
          <w:bCs/>
          <w:color w:val="000000" w:themeColor="text1"/>
          <w:sz w:val="24"/>
          <w:szCs w:val="24"/>
          <w:highlight w:val="none"/>
          <w14:textFill>
            <w14:solidFill>
              <w14:schemeClr w14:val="tx1"/>
            </w14:solidFill>
          </w14:textFill>
        </w:rPr>
        <w:t>26.1无效投标条款</w:t>
      </w:r>
    </w:p>
    <w:p w14:paraId="1FD0C6A6">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 投标人在</w:t>
      </w:r>
      <w:r>
        <w:rPr>
          <w:rFonts w:hint="eastAsia" w:ascii="宋体" w:hAnsi="宋体"/>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szCs w:val="24"/>
          <w:highlight w:val="none"/>
          <w14:textFill>
            <w14:solidFill>
              <w14:schemeClr w14:val="tx1"/>
            </w14:solidFill>
          </w14:textFill>
        </w:rPr>
        <w:t>规定的时间内未成功解密电子投标文件的。</w:t>
      </w:r>
    </w:p>
    <w:p w14:paraId="0C68278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 投标人未按照招标文件要求上传电子投标文件的。</w:t>
      </w:r>
    </w:p>
    <w:p w14:paraId="3AB2EFD9">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26.1.3同一投标人提交两个（含两个）以上不同的投标报价的。</w:t>
      </w:r>
    </w:p>
    <w:p w14:paraId="7D531754">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26.1.4投标人不具备招标文件中规定资格要求的。</w:t>
      </w:r>
    </w:p>
    <w:p w14:paraId="771FF8E9">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26.1.5投标人的报价超过了采购预算或最高限价的。</w:t>
      </w:r>
    </w:p>
    <w:p w14:paraId="7469A47F">
      <w:pPr>
        <w:spacing w:line="360" w:lineRule="auto"/>
        <w:ind w:firstLine="480"/>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26.1.6未通过符合性审查的。</w:t>
      </w:r>
    </w:p>
    <w:p w14:paraId="31B0E857">
      <w:pPr>
        <w:spacing w:line="360" w:lineRule="auto"/>
        <w:ind w:firstLine="360"/>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highlight w:val="none"/>
          <w:u w:val="single"/>
          <w14:textFill>
            <w14:solidFill>
              <w14:schemeClr w14:val="tx1"/>
            </w14:solidFill>
          </w14:textFill>
        </w:rPr>
        <w:t>本招标文件中斜体且有下划线部分为实质性要求和条件）。</w:t>
      </w:r>
    </w:p>
    <w:p w14:paraId="339FA06E">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48AEE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 投标文件含有采购人不能接受的附加条件的。</w:t>
      </w:r>
    </w:p>
    <w:p w14:paraId="6C335768">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szCs w:val="24"/>
          <w:highlight w:val="none"/>
          <w14:textFill>
            <w14:solidFill>
              <w14:schemeClr w14:val="tx1"/>
            </w14:solidFill>
          </w14:textFill>
        </w:rPr>
        <w:t>要求其在合理的时间内提供说明，必要时提交相关证明材料；投标人不能证明其报价合理性的，评标委员会应当将其作为无效投标处理。</w:t>
      </w:r>
    </w:p>
    <w:p w14:paraId="71B9CAF4">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 投标文件未按照招标文件要求加盖CA</w:t>
      </w:r>
      <w:r>
        <w:rPr>
          <w:rFonts w:ascii="宋体" w:hAnsi="宋体"/>
          <w:bCs/>
          <w:color w:val="000000" w:themeColor="text1"/>
          <w:sz w:val="24"/>
          <w:szCs w:val="24"/>
          <w:highlight w:val="none"/>
          <w14:textFill>
            <w14:solidFill>
              <w14:schemeClr w14:val="tx1"/>
            </w14:solidFill>
          </w14:textFill>
        </w:rPr>
        <w:t>电子公章的</w:t>
      </w:r>
      <w:r>
        <w:rPr>
          <w:rFonts w:hint="eastAsia" w:ascii="宋体" w:hAnsi="宋体"/>
          <w:bCs/>
          <w:color w:val="000000" w:themeColor="text1"/>
          <w:sz w:val="24"/>
          <w:szCs w:val="24"/>
          <w:highlight w:val="none"/>
          <w14:textFill>
            <w14:solidFill>
              <w14:schemeClr w14:val="tx1"/>
            </w14:solidFill>
          </w14:textFill>
        </w:rPr>
        <w:t>。</w:t>
      </w:r>
    </w:p>
    <w:p w14:paraId="1068EEF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26.1.12其他法律、法规及本招标文件规定的属无效投标的情形。</w:t>
      </w:r>
    </w:p>
    <w:p w14:paraId="72B9BA23">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26.2废标条款</w:t>
      </w:r>
    </w:p>
    <w:p w14:paraId="1E0EDD1A">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26.2.1符合专业条件的供应商或者对招标文件作实质响应的供应商不足三家的。26.2.2出现影响采购公正的违法、违规行为的。</w:t>
      </w:r>
    </w:p>
    <w:p w14:paraId="58A2779C">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26.2.3因重大变故，采购任务取消的。</w:t>
      </w:r>
    </w:p>
    <w:p w14:paraId="5F361B5F">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26.2.4评标委员会认定招标文件存在歧义、重大缺陷导致评审工作无法进行。</w:t>
      </w:r>
    </w:p>
    <w:p w14:paraId="144D013A">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26.2.5 因</w:t>
      </w:r>
      <w:r>
        <w:rPr>
          <w:rFonts w:hint="eastAsia" w:ascii="宋体" w:hAnsi="宋体"/>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系统故障原因造成开标不成功</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w:t>
      </w:r>
    </w:p>
    <w:p w14:paraId="0072FE42">
      <w:pPr>
        <w:spacing w:line="360" w:lineRule="auto"/>
        <w:ind w:left="479"/>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26.3 投标截止时间结束后参加投标的供应商不足三家的处理：</w:t>
      </w:r>
    </w:p>
    <w:p w14:paraId="49BEF674">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08EE6AB3">
      <w:pPr>
        <w:pStyle w:val="295"/>
        <w:spacing w:before="145" w:after="145" w:line="360" w:lineRule="auto"/>
        <w:ind w:firstLine="482"/>
        <w:rPr>
          <w:color w:val="000000" w:themeColor="text1"/>
          <w:sz w:val="24"/>
          <w:szCs w:val="24"/>
          <w:highlight w:val="none"/>
          <w14:textFill>
            <w14:solidFill>
              <w14:schemeClr w14:val="tx1"/>
            </w14:solidFill>
          </w14:textFill>
        </w:rPr>
      </w:pPr>
      <w:bookmarkStart w:id="162" w:name="_Toc120614219"/>
      <w:r>
        <w:rPr>
          <w:rFonts w:hint="eastAsia"/>
          <w:color w:val="000000" w:themeColor="text1"/>
          <w:sz w:val="24"/>
          <w:szCs w:val="24"/>
          <w:highlight w:val="none"/>
          <w14:textFill>
            <w14:solidFill>
              <w14:schemeClr w14:val="tx1"/>
            </w14:solidFill>
          </w14:textFill>
        </w:rPr>
        <w:t>六、</w:t>
      </w:r>
      <w:bookmarkEnd w:id="159"/>
      <w:bookmarkEnd w:id="160"/>
      <w:bookmarkEnd w:id="161"/>
      <w:r>
        <w:rPr>
          <w:rFonts w:hint="eastAsia"/>
          <w:color w:val="000000" w:themeColor="text1"/>
          <w:sz w:val="24"/>
          <w:szCs w:val="24"/>
          <w:highlight w:val="none"/>
          <w14:textFill>
            <w14:solidFill>
              <w14:schemeClr w14:val="tx1"/>
            </w14:solidFill>
          </w14:textFill>
        </w:rPr>
        <w:t>定标</w:t>
      </w:r>
      <w:bookmarkEnd w:id="162"/>
    </w:p>
    <w:p w14:paraId="0AFBEB93">
      <w:pPr>
        <w:pStyle w:val="292"/>
        <w:spacing w:before="0" w:after="0" w:line="360" w:lineRule="auto"/>
        <w:ind w:firstLine="600"/>
        <w:rPr>
          <w:rFonts w:ascii="黑体" w:hAnsi="宋体" w:cs="Times New Roman"/>
          <w:b w:val="0"/>
          <w:color w:val="000000" w:themeColor="text1"/>
          <w:sz w:val="24"/>
          <w:szCs w:val="24"/>
          <w:highlight w:val="none"/>
          <w14:textFill>
            <w14:solidFill>
              <w14:schemeClr w14:val="tx1"/>
            </w14:solidFill>
          </w14:textFill>
        </w:rPr>
      </w:pPr>
      <w:bookmarkStart w:id="163" w:name="_Toc513029238"/>
      <w:bookmarkStart w:id="164" w:name="_Toc20823310"/>
      <w:bookmarkStart w:id="165" w:name="_Toc16938554"/>
      <w:r>
        <w:rPr>
          <w:rFonts w:hint="eastAsia" w:ascii="黑体" w:hAnsi="宋体" w:cs="Times New Roman"/>
          <w:b w:val="0"/>
          <w:color w:val="000000" w:themeColor="text1"/>
          <w:sz w:val="24"/>
          <w:szCs w:val="24"/>
          <w:highlight w:val="none"/>
          <w14:textFill>
            <w14:solidFill>
              <w14:schemeClr w14:val="tx1"/>
            </w14:solidFill>
          </w14:textFill>
        </w:rPr>
        <w:t>27、</w:t>
      </w:r>
      <w:bookmarkEnd w:id="163"/>
      <w:r>
        <w:rPr>
          <w:rFonts w:hint="eastAsia" w:ascii="黑体" w:hAnsi="宋体" w:cs="Times New Roman"/>
          <w:b w:val="0"/>
          <w:color w:val="000000" w:themeColor="text1"/>
          <w:sz w:val="24"/>
          <w:szCs w:val="24"/>
          <w:highlight w:val="none"/>
          <w14:textFill>
            <w14:solidFill>
              <w14:schemeClr w14:val="tx1"/>
            </w14:solidFill>
          </w14:textFill>
        </w:rPr>
        <w:t>确定</w:t>
      </w:r>
      <w:bookmarkEnd w:id="164"/>
      <w:bookmarkEnd w:id="165"/>
      <w:r>
        <w:rPr>
          <w:rFonts w:hint="eastAsia" w:ascii="黑体" w:hAnsi="宋体" w:cs="Times New Roman"/>
          <w:b w:val="0"/>
          <w:color w:val="000000" w:themeColor="text1"/>
          <w:sz w:val="24"/>
          <w:szCs w:val="24"/>
          <w:highlight w:val="none"/>
          <w14:textFill>
            <w14:solidFill>
              <w14:schemeClr w14:val="tx1"/>
            </w14:solidFill>
          </w14:textFill>
        </w:rPr>
        <w:t>中标单位</w:t>
      </w:r>
    </w:p>
    <w:p w14:paraId="0CE56C95">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27.1中标候选人的选取原则和数量见招标文件第五章规定。 </w:t>
      </w:r>
    </w:p>
    <w:p w14:paraId="1F670A28">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27.2 采购人应根据评委会推荐的中标候选人确定中标人。</w:t>
      </w:r>
    </w:p>
    <w:p w14:paraId="2E65FED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14:textFill>
            <w14:solidFill>
              <w14:schemeClr w14:val="tx1"/>
            </w14:solidFill>
          </w14:textFill>
        </w:rPr>
        <w:t>采购人将在“江苏政府采购网”发布中标公告，公告期限为1个工作日。</w:t>
      </w:r>
    </w:p>
    <w:p w14:paraId="66EDFF1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  若有充分证据证明，中标人出现下列情况之一的，一经查实，将被取消中标资格：</w:t>
      </w:r>
    </w:p>
    <w:p w14:paraId="3263DB2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27.4.1提供虚假材料谋取中标的。</w:t>
      </w:r>
    </w:p>
    <w:p w14:paraId="3E0D201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27.4.2向采购人、采购人行贿或者提供其他不正当利益的。</w:t>
      </w:r>
    </w:p>
    <w:p w14:paraId="136ABA3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27.4.3属于本文件规定的无效条件，但在评标过程中又未被评委会发现的。</w:t>
      </w:r>
    </w:p>
    <w:p w14:paraId="3E5B4FA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27.4.4与采购人或者其他供应商恶意串通的。</w:t>
      </w:r>
    </w:p>
    <w:p w14:paraId="5F12C75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27.4.5采取不正当手段诋毁、排挤其他供应商的。</w:t>
      </w:r>
    </w:p>
    <w:p w14:paraId="4BEDF83B">
      <w:pPr>
        <w:spacing w:line="360" w:lineRule="auto"/>
        <w:ind w:firstLine="480"/>
        <w:rPr>
          <w:rFonts w:ascii="宋体" w:hAnsi="宋体"/>
          <w:color w:val="000000" w:themeColor="text1"/>
          <w:sz w:val="24"/>
          <w:szCs w:val="24"/>
          <w:highlight w:val="none"/>
          <w14:textFill>
            <w14:solidFill>
              <w14:schemeClr w14:val="tx1"/>
            </w14:solidFill>
          </w14:textFill>
        </w:rPr>
      </w:pPr>
      <w:bookmarkStart w:id="166" w:name="_Toc200451960"/>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有下列情形之一的，</w:t>
      </w:r>
      <w:r>
        <w:rPr>
          <w:rFonts w:hint="eastAsia" w:hAnsi="宋体" w:cs="宋体"/>
          <w:color w:val="000000" w:themeColor="text1"/>
          <w:sz w:val="24"/>
          <w:szCs w:val="24"/>
          <w:highlight w:val="none"/>
          <w14:textFill>
            <w14:solidFill>
              <w14:schemeClr w14:val="tx1"/>
            </w14:solidFill>
          </w14:textFill>
        </w:rPr>
        <w:t>视为投标人</w:t>
      </w:r>
      <w:r>
        <w:rPr>
          <w:rFonts w:hAnsi="宋体" w:cs="宋体"/>
          <w:color w:val="000000" w:themeColor="text1"/>
          <w:sz w:val="24"/>
          <w:szCs w:val="24"/>
          <w:highlight w:val="none"/>
          <w14:textFill>
            <w14:solidFill>
              <w14:schemeClr w14:val="tx1"/>
            </w14:solidFill>
          </w14:textFill>
        </w:rPr>
        <w:t>串通</w:t>
      </w:r>
      <w:r>
        <w:rPr>
          <w:rFonts w:hint="eastAsia" w:hAnsi="宋体" w:cs="宋体"/>
          <w:color w:val="000000" w:themeColor="text1"/>
          <w:sz w:val="24"/>
          <w:szCs w:val="24"/>
          <w:highlight w:val="none"/>
          <w14:textFill>
            <w14:solidFill>
              <w14:schemeClr w14:val="tx1"/>
            </w14:solidFill>
          </w14:textFill>
        </w:rPr>
        <w:t>投标，投标无效：</w:t>
      </w:r>
    </w:p>
    <w:p w14:paraId="539E3D60">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27.5.1不同投标人的投标文件由同一单位或者个人编制。</w:t>
      </w:r>
    </w:p>
    <w:p w14:paraId="67A3B1F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27.5.2不同投标人委托同一单位或者个人办理投标事宜。</w:t>
      </w:r>
    </w:p>
    <w:p w14:paraId="3DB0151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27.5.3 不同投标人的投标文件载明的项目管理成员或者联系人员为同一人。</w:t>
      </w:r>
    </w:p>
    <w:p w14:paraId="608AF27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27.5.4不同投标人的投标文件异常一致或者投标报价呈规律性差异。</w:t>
      </w:r>
    </w:p>
    <w:p w14:paraId="7AB4C41A">
      <w:pPr>
        <w:pStyle w:val="292"/>
        <w:spacing w:before="0" w:after="0" w:line="360" w:lineRule="auto"/>
        <w:ind w:firstLine="600"/>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28、质疑处理</w:t>
      </w:r>
      <w:bookmarkEnd w:id="166"/>
    </w:p>
    <w:p w14:paraId="443AFA7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 提出质疑的供应商应当是参与所质疑项目采购活动的供应商。潜在供应商依法获取其可质疑的采购文件的，可以对采购文件提出质疑。</w:t>
      </w:r>
    </w:p>
    <w:p w14:paraId="7AE4200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或者采购代理机构提出质疑。上述应知其权益受到损害之日，是指：</w:t>
      </w:r>
    </w:p>
    <w:p w14:paraId="67955DA6">
      <w:pPr>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28.2.1</w:t>
      </w:r>
      <w:r>
        <w:rPr>
          <w:rFonts w:hAnsi="宋体" w:cs="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7CCE6880">
      <w:pPr>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28.2.2</w:t>
      </w:r>
      <w:r>
        <w:rPr>
          <w:rFonts w:hAnsi="宋体" w:cs="宋体"/>
          <w:color w:val="000000" w:themeColor="text1"/>
          <w:sz w:val="24"/>
          <w:szCs w:val="24"/>
          <w:highlight w:val="none"/>
          <w14:textFill>
            <w14:solidFill>
              <w14:schemeClr w14:val="tx1"/>
            </w14:solidFill>
          </w14:textFill>
        </w:rPr>
        <w:t>对采购过程提出质疑的，为各采购程序环节结束之日；</w:t>
      </w:r>
    </w:p>
    <w:p w14:paraId="57A1A91A">
      <w:pPr>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28.2.3</w:t>
      </w:r>
      <w:r>
        <w:rPr>
          <w:rFonts w:hAnsi="宋体" w:cs="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2E8757E1">
      <w:pPr>
        <w:spacing w:line="360" w:lineRule="auto"/>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Ansi="宋体" w:cs="宋体"/>
          <w:color w:val="000000" w:themeColor="text1"/>
          <w:sz w:val="24"/>
          <w:szCs w:val="24"/>
          <w:highlight w:val="none"/>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将只对供应商第一次质疑作出答复。</w:t>
      </w:r>
    </w:p>
    <w:p w14:paraId="745C366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28.3质疑函必须按照本招标文件中《质疑函范本》要求的格式和内容进行填写。供应商如组成联合体参加投标，则《质疑函范本》中要求签字、盖章、加盖公章之处，联合体各方均须按要求签字、盖章、加盖公章。</w:t>
      </w:r>
    </w:p>
    <w:p w14:paraId="50A659A5">
      <w:pPr>
        <w:spacing w:line="360" w:lineRule="auto"/>
        <w:ind w:firstLine="480"/>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28.4供应商（含</w:t>
      </w:r>
      <w:r>
        <w:rPr>
          <w:rFonts w:ascii="宋体" w:hAnsi="宋体"/>
          <w:color w:val="000000" w:themeColor="text1"/>
          <w:sz w:val="24"/>
          <w:szCs w:val="24"/>
          <w:highlight w:val="none"/>
          <w14:textFill>
            <w14:solidFill>
              <w14:schemeClr w14:val="tx1"/>
            </w14:solidFill>
          </w14:textFill>
        </w:rPr>
        <w:t>潜在供应商）</w:t>
      </w:r>
      <w:r>
        <w:rPr>
          <w:rFonts w:hint="eastAsia" w:ascii="宋体" w:hAnsi="宋体"/>
          <w:color w:val="000000" w:themeColor="text1"/>
          <w:sz w:val="24"/>
          <w:szCs w:val="24"/>
          <w:highlight w:val="none"/>
          <w14:textFill>
            <w14:solidFill>
              <w14:schemeClr w14:val="tx1"/>
            </w14:solidFill>
          </w14:textFill>
        </w:rPr>
        <w:t>对</w:t>
      </w:r>
      <w:r>
        <w:rPr>
          <w:rFonts w:ascii="宋体" w:hAnsi="宋体"/>
          <w:color w:val="000000" w:themeColor="text1"/>
          <w:sz w:val="24"/>
          <w:szCs w:val="24"/>
          <w:highlight w:val="none"/>
          <w14:textFill>
            <w14:solidFill>
              <w14:schemeClr w14:val="tx1"/>
            </w14:solidFill>
          </w14:textFill>
        </w:rPr>
        <w:t>采购方式、</w:t>
      </w:r>
      <w:r>
        <w:rPr>
          <w:rFonts w:hint="eastAsia" w:ascii="宋体" w:hAnsi="宋体"/>
          <w:color w:val="000000" w:themeColor="text1"/>
          <w:sz w:val="24"/>
          <w:szCs w:val="24"/>
          <w:highlight w:val="none"/>
          <w14:textFill>
            <w14:solidFill>
              <w14:schemeClr w14:val="tx1"/>
            </w14:solidFill>
          </w14:textFill>
        </w:rPr>
        <w:t>项目需求</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供应商</w:t>
      </w:r>
      <w:r>
        <w:rPr>
          <w:rFonts w:ascii="宋体" w:hAnsi="宋体"/>
          <w:color w:val="000000" w:themeColor="text1"/>
          <w:sz w:val="24"/>
          <w:szCs w:val="24"/>
          <w:highlight w:val="none"/>
          <w14:textFill>
            <w14:solidFill>
              <w14:schemeClr w14:val="tx1"/>
            </w14:solidFill>
          </w14:textFill>
        </w:rPr>
        <w:t>资格条件</w:t>
      </w:r>
      <w:r>
        <w:rPr>
          <w:rFonts w:hint="eastAsia" w:ascii="宋体" w:hAnsi="宋体"/>
          <w:color w:val="000000" w:themeColor="text1"/>
          <w:sz w:val="24"/>
          <w:szCs w:val="24"/>
          <w:highlight w:val="none"/>
          <w14:textFill>
            <w14:solidFill>
              <w14:schemeClr w14:val="tx1"/>
            </w14:solidFill>
          </w14:textFill>
        </w:rPr>
        <w:t>及</w:t>
      </w:r>
      <w:r>
        <w:rPr>
          <w:rFonts w:ascii="宋体" w:hAnsi="宋体"/>
          <w:color w:val="000000" w:themeColor="text1"/>
          <w:sz w:val="24"/>
          <w:szCs w:val="24"/>
          <w:highlight w:val="none"/>
          <w14:textFill>
            <w14:solidFill>
              <w14:schemeClr w14:val="tx1"/>
            </w14:solidFill>
          </w14:textFill>
        </w:rPr>
        <w:t>审查结果、</w:t>
      </w:r>
      <w:r>
        <w:rPr>
          <w:rFonts w:hint="eastAsia" w:ascii="宋体" w:hAnsi="宋体"/>
          <w:color w:val="000000" w:themeColor="text1"/>
          <w:sz w:val="24"/>
          <w:szCs w:val="24"/>
          <w:highlight w:val="none"/>
          <w14:textFill>
            <w14:solidFill>
              <w14:schemeClr w14:val="tx1"/>
            </w14:solidFill>
          </w14:textFill>
        </w:rPr>
        <w:t>评标方法</w:t>
      </w:r>
      <w:r>
        <w:rPr>
          <w:rFonts w:ascii="宋体" w:hAnsi="宋体"/>
          <w:color w:val="000000" w:themeColor="text1"/>
          <w:sz w:val="24"/>
          <w:szCs w:val="24"/>
          <w:highlight w:val="none"/>
          <w14:textFill>
            <w14:solidFill>
              <w14:schemeClr w14:val="tx1"/>
            </w14:solidFill>
          </w14:textFill>
        </w:rPr>
        <w:t>和评标标准、合同文本</w:t>
      </w:r>
      <w:r>
        <w:rPr>
          <w:rFonts w:hint="eastAsia" w:ascii="宋体" w:hAnsi="宋体"/>
          <w:color w:val="000000" w:themeColor="text1"/>
          <w:sz w:val="24"/>
          <w:szCs w:val="24"/>
          <w:highlight w:val="none"/>
          <w14:textFill>
            <w14:solidFill>
              <w14:schemeClr w14:val="tx1"/>
            </w14:solidFill>
          </w14:textFill>
        </w:rPr>
        <w:t>的</w:t>
      </w:r>
      <w:r>
        <w:rPr>
          <w:rFonts w:ascii="宋体" w:hAnsi="宋体"/>
          <w:color w:val="000000" w:themeColor="text1"/>
          <w:sz w:val="24"/>
          <w:szCs w:val="24"/>
          <w:highlight w:val="none"/>
          <w14:textFill>
            <w14:solidFill>
              <w14:schemeClr w14:val="tx1"/>
            </w14:solidFill>
          </w14:textFill>
        </w:rPr>
        <w:t>询问</w:t>
      </w:r>
      <w:r>
        <w:rPr>
          <w:rFonts w:hint="eastAsia" w:ascii="宋体" w:hAnsi="宋体"/>
          <w:color w:val="000000" w:themeColor="text1"/>
          <w:sz w:val="24"/>
          <w:szCs w:val="24"/>
          <w:highlight w:val="none"/>
          <w14:textFill>
            <w14:solidFill>
              <w14:schemeClr w14:val="tx1"/>
            </w14:solidFill>
          </w14:textFill>
        </w:rPr>
        <w:t>、质疑</w:t>
      </w:r>
      <w:r>
        <w:rPr>
          <w:rFonts w:ascii="宋体" w:hAnsi="宋体"/>
          <w:color w:val="000000" w:themeColor="text1"/>
          <w:sz w:val="24"/>
          <w:szCs w:val="24"/>
          <w:highlight w:val="none"/>
          <w14:textFill>
            <w14:solidFill>
              <w14:schemeClr w14:val="tx1"/>
            </w14:solidFill>
          </w14:textFill>
        </w:rPr>
        <w:t>请向采购人提出，由采购人负责答复。</w:t>
      </w:r>
    </w:p>
    <w:p w14:paraId="3A4091A7">
      <w:pPr>
        <w:spacing w:line="360" w:lineRule="auto"/>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供应商（含</w:t>
      </w:r>
      <w:r>
        <w:rPr>
          <w:rFonts w:ascii="宋体" w:hAnsi="宋体"/>
          <w:color w:val="000000" w:themeColor="text1"/>
          <w:sz w:val="24"/>
          <w:szCs w:val="24"/>
          <w:highlight w:val="none"/>
          <w14:textFill>
            <w14:solidFill>
              <w14:schemeClr w14:val="tx1"/>
            </w14:solidFill>
          </w14:textFill>
        </w:rPr>
        <w:t>潜在供应商）</w:t>
      </w:r>
      <w:r>
        <w:rPr>
          <w:rFonts w:hint="eastAsia" w:ascii="宋体" w:hAnsi="宋体"/>
          <w:color w:val="000000" w:themeColor="text1"/>
          <w:sz w:val="24"/>
          <w:szCs w:val="24"/>
          <w:highlight w:val="none"/>
          <w14:textFill>
            <w14:solidFill>
              <w14:schemeClr w14:val="tx1"/>
            </w14:solidFill>
          </w14:textFill>
        </w:rPr>
        <w:t>对与</w:t>
      </w:r>
      <w:r>
        <w:rPr>
          <w:rFonts w:ascii="宋体" w:hAnsi="宋体"/>
          <w:color w:val="000000" w:themeColor="text1"/>
          <w:sz w:val="24"/>
          <w:szCs w:val="24"/>
          <w:highlight w:val="none"/>
          <w14:textFill>
            <w14:solidFill>
              <w14:schemeClr w14:val="tx1"/>
            </w14:solidFill>
          </w14:textFill>
        </w:rPr>
        <w:t>本项目</w:t>
      </w:r>
      <w:r>
        <w:rPr>
          <w:rFonts w:hint="eastAsia" w:ascii="宋体" w:hAnsi="宋体"/>
          <w:color w:val="000000" w:themeColor="text1"/>
          <w:sz w:val="24"/>
          <w:szCs w:val="24"/>
          <w:highlight w:val="none"/>
          <w14:textFill>
            <w14:solidFill>
              <w14:schemeClr w14:val="tx1"/>
            </w14:solidFill>
          </w14:textFill>
        </w:rPr>
        <w:t>有关的</w:t>
      </w:r>
      <w:r>
        <w:rPr>
          <w:rFonts w:ascii="宋体" w:hAnsi="宋体"/>
          <w:color w:val="000000" w:themeColor="text1"/>
          <w:sz w:val="24"/>
          <w:szCs w:val="24"/>
          <w:highlight w:val="none"/>
          <w14:textFill>
            <w14:solidFill>
              <w14:schemeClr w14:val="tx1"/>
            </w14:solidFill>
          </w14:textFill>
        </w:rPr>
        <w:t>所有询问、质疑</w:t>
      </w:r>
      <w:r>
        <w:rPr>
          <w:rFonts w:hint="eastAsia" w:ascii="宋体" w:hAnsi="宋体"/>
          <w:color w:val="000000" w:themeColor="text1"/>
          <w:sz w:val="24"/>
          <w:szCs w:val="24"/>
          <w:highlight w:val="none"/>
          <w14:textFill>
            <w14:solidFill>
              <w14:schemeClr w14:val="tx1"/>
            </w14:solidFill>
          </w14:textFill>
        </w:rPr>
        <w:t>均</w:t>
      </w:r>
      <w:r>
        <w:rPr>
          <w:rFonts w:ascii="宋体" w:hAnsi="宋体"/>
          <w:color w:val="000000" w:themeColor="text1"/>
          <w:sz w:val="24"/>
          <w:szCs w:val="24"/>
          <w:highlight w:val="none"/>
          <w14:textFill>
            <w14:solidFill>
              <w14:schemeClr w14:val="tx1"/>
            </w14:solidFill>
          </w14:textFill>
        </w:rPr>
        <w:t>请向采购人或采购代理机构提出，由</w:t>
      </w:r>
      <w:r>
        <w:rPr>
          <w:rFonts w:hint="eastAsia" w:ascii="宋体" w:hAnsi="宋体"/>
          <w:color w:val="000000" w:themeColor="text1"/>
          <w:sz w:val="24"/>
          <w:szCs w:val="24"/>
          <w:highlight w:val="none"/>
          <w14:textFill>
            <w14:solidFill>
              <w14:schemeClr w14:val="tx1"/>
            </w14:solidFill>
          </w14:textFill>
        </w:rPr>
        <w:t>采购代理</w:t>
      </w:r>
      <w:r>
        <w:rPr>
          <w:rFonts w:ascii="宋体" w:hAnsi="宋体"/>
          <w:color w:val="000000" w:themeColor="text1"/>
          <w:sz w:val="24"/>
          <w:szCs w:val="24"/>
          <w:highlight w:val="none"/>
          <w14:textFill>
            <w14:solidFill>
              <w14:schemeClr w14:val="tx1"/>
            </w14:solidFill>
          </w14:textFill>
        </w:rPr>
        <w:t>机构负责答复。</w:t>
      </w:r>
    </w:p>
    <w:p w14:paraId="3DFC4E52">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采购人质疑接收人及联系方式见招标文件第一章。</w:t>
      </w:r>
    </w:p>
    <w:p w14:paraId="3B0FE231">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 以下情形的质疑不予受理</w:t>
      </w:r>
    </w:p>
    <w:p w14:paraId="1B2DCFD3">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28.5.1 内容不符合《政府采购质疑和投诉办法》第十二条规定的质疑。</w:t>
      </w:r>
    </w:p>
    <w:p w14:paraId="4D2FB3E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28.5.2 超出政府采购法定期限的质疑。</w:t>
      </w:r>
    </w:p>
    <w:p w14:paraId="64313C8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28.5.3 以传真、电子邮件等方式递交的非原件形式的质疑。</w:t>
      </w:r>
    </w:p>
    <w:p w14:paraId="464DD4D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28.5.4 未参加投标活动的供应商或在投标活动中自身权益未受到损害的供应商所提出的质疑。</w:t>
      </w:r>
    </w:p>
    <w:p w14:paraId="7C76E88A">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04E83FD5">
      <w:pPr>
        <w:spacing w:line="360" w:lineRule="auto"/>
        <w:ind w:firstLine="46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40EE07C">
      <w:pPr>
        <w:pStyle w:val="292"/>
        <w:spacing w:before="0" w:after="0" w:line="360" w:lineRule="auto"/>
        <w:ind w:firstLine="600"/>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29、中标通知书</w:t>
      </w:r>
    </w:p>
    <w:p w14:paraId="40CC90A1">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29.l</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C952922">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48E34F9A">
      <w:pPr>
        <w:pStyle w:val="295"/>
        <w:spacing w:before="145" w:after="145" w:line="360" w:lineRule="auto"/>
        <w:rPr>
          <w:color w:val="000000" w:themeColor="text1"/>
          <w:sz w:val="24"/>
          <w:szCs w:val="24"/>
          <w:highlight w:val="none"/>
          <w14:textFill>
            <w14:solidFill>
              <w14:schemeClr w14:val="tx1"/>
            </w14:solidFill>
          </w14:textFill>
        </w:rPr>
      </w:pPr>
      <w:bookmarkStart w:id="167" w:name="_Toc20823308"/>
      <w:bookmarkStart w:id="168" w:name="_Toc120614220"/>
      <w:bookmarkStart w:id="169" w:name="_Toc513029236"/>
      <w:bookmarkStart w:id="170" w:name="_Toc16938552"/>
      <w:r>
        <w:rPr>
          <w:rFonts w:hint="eastAsia"/>
          <w:color w:val="000000" w:themeColor="text1"/>
          <w:sz w:val="24"/>
          <w:szCs w:val="24"/>
          <w:highlight w:val="none"/>
          <w14:textFill>
            <w14:solidFill>
              <w14:schemeClr w14:val="tx1"/>
            </w14:solidFill>
          </w14:textFill>
        </w:rPr>
        <w:t>七、授予合同</w:t>
      </w:r>
      <w:bookmarkEnd w:id="167"/>
      <w:bookmarkEnd w:id="168"/>
      <w:bookmarkEnd w:id="169"/>
      <w:bookmarkEnd w:id="170"/>
    </w:p>
    <w:p w14:paraId="1DD47B05">
      <w:pPr>
        <w:pStyle w:val="292"/>
        <w:spacing w:before="0" w:after="0" w:line="360" w:lineRule="auto"/>
        <w:ind w:firstLine="600"/>
        <w:rPr>
          <w:rFonts w:ascii="黑体" w:hAnsi="宋体" w:cs="Times New Roman"/>
          <w:b w:val="0"/>
          <w:color w:val="000000" w:themeColor="text1"/>
          <w:sz w:val="24"/>
          <w:szCs w:val="24"/>
          <w:highlight w:val="none"/>
          <w14:textFill>
            <w14:solidFill>
              <w14:schemeClr w14:val="tx1"/>
            </w14:solidFill>
          </w14:textFill>
        </w:rPr>
      </w:pPr>
      <w:bookmarkStart w:id="171" w:name="_Toc513029237"/>
      <w:bookmarkStart w:id="172" w:name="_Toc16938553"/>
      <w:bookmarkStart w:id="173" w:name="_Toc20823309"/>
      <w:r>
        <w:rPr>
          <w:rFonts w:hint="eastAsia" w:ascii="黑体" w:hAnsi="宋体" w:cs="Times New Roman"/>
          <w:b w:val="0"/>
          <w:color w:val="000000" w:themeColor="text1"/>
          <w:sz w:val="24"/>
          <w:szCs w:val="24"/>
          <w:highlight w:val="none"/>
          <w14:textFill>
            <w14:solidFill>
              <w14:schemeClr w14:val="tx1"/>
            </w14:solidFill>
          </w14:textFill>
        </w:rPr>
        <w:t>30. 签订合同</w:t>
      </w:r>
    </w:p>
    <w:p w14:paraId="588B28EA">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30</w:t>
      </w:r>
      <w:r>
        <w:rPr>
          <w:rFonts w:hint="eastAsia" w:ascii="宋体" w:hAnsi="宋体"/>
          <w:color w:val="000000" w:themeColor="text1"/>
          <w:sz w:val="24"/>
          <w:szCs w:val="24"/>
          <w:highlight w:val="none"/>
          <w14:textFill>
            <w14:solidFill>
              <w14:schemeClr w14:val="tx1"/>
            </w14:solidFill>
          </w14:textFill>
        </w:rPr>
        <w:t>.l中标人应当在中标通知书发出之日起三十日内，按照招标文件确定的事项与采购人签订政府采购合同。</w:t>
      </w:r>
    </w:p>
    <w:p w14:paraId="3C49A2F2">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562F9250">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30.3 签订合同后，</w:t>
      </w:r>
      <w:r>
        <w:rPr>
          <w:rFonts w:hint="eastAsia" w:ascii="宋体" w:hAnsi="宋体"/>
          <w:i/>
          <w:color w:val="000000" w:themeColor="text1"/>
          <w:sz w:val="24"/>
          <w:szCs w:val="24"/>
          <w:highlight w:val="none"/>
          <w:u w:val="single"/>
          <w14:textFill>
            <w14:solidFill>
              <w14:schemeClr w14:val="tx1"/>
            </w14:solidFill>
          </w14:textFill>
        </w:rPr>
        <w:t>中标人不得将合同标的进行转包</w:t>
      </w:r>
      <w:r>
        <w:rPr>
          <w:rFonts w:hint="eastAsia" w:ascii="宋体" w:hAnsi="宋体"/>
          <w:color w:val="000000" w:themeColor="text1"/>
          <w:sz w:val="24"/>
          <w:szCs w:val="24"/>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388A24B2">
      <w:pPr>
        <w:pStyle w:val="292"/>
        <w:spacing w:before="0" w:after="0" w:line="360" w:lineRule="auto"/>
        <w:ind w:firstLine="600"/>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31、服务（包含与服务相关的货物）的追加</w:t>
      </w:r>
    </w:p>
    <w:p w14:paraId="1C30C5C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bookmarkEnd w:id="172"/>
      <w:bookmarkEnd w:id="173"/>
    </w:p>
    <w:p w14:paraId="20B6C991">
      <w:pPr>
        <w:widowControl/>
        <w:spacing w:line="520" w:lineRule="exact"/>
        <w:ind w:firstLine="480"/>
        <w:rPr>
          <w:rFonts w:ascii="宋体" w:hAnsi="宋体"/>
          <w:b/>
          <w:bCs/>
          <w:color w:val="000000" w:themeColor="text1"/>
          <w:sz w:val="24"/>
          <w:szCs w:val="20"/>
          <w:highlight w:val="none"/>
          <w:lang w:val="zh-CN"/>
          <w14:textFill>
            <w14:solidFill>
              <w14:schemeClr w14:val="tx1"/>
            </w14:solidFill>
          </w14:textFill>
        </w:rPr>
      </w:pPr>
      <w:r>
        <w:rPr>
          <w:rFonts w:hint="eastAsia" w:ascii="黑体" w:hAnsi="宋体"/>
          <w:color w:val="000000" w:themeColor="text1"/>
          <w:sz w:val="24"/>
          <w:szCs w:val="24"/>
          <w:highlight w:val="none"/>
          <w14:textFill>
            <w14:solidFill>
              <w14:schemeClr w14:val="tx1"/>
            </w14:solidFill>
          </w14:textFill>
        </w:rPr>
        <w:t>32、</w:t>
      </w:r>
      <w:r>
        <w:rPr>
          <w:rFonts w:hint="eastAsia" w:ascii="宋体" w:hAnsi="宋体"/>
          <w:b/>
          <w:bCs/>
          <w:color w:val="000000" w:themeColor="text1"/>
          <w:sz w:val="24"/>
          <w:szCs w:val="20"/>
          <w:highlight w:val="none"/>
          <w:lang w:val="zh-CN"/>
          <w14:textFill>
            <w14:solidFill>
              <w14:schemeClr w14:val="tx1"/>
            </w14:solidFill>
          </w14:textFill>
        </w:rPr>
        <w:t>政府采购线上合同信用融资政策</w:t>
      </w:r>
    </w:p>
    <w:p w14:paraId="6CD1CB29">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32.1</w:t>
      </w:r>
      <w:r>
        <w:rPr>
          <w:rFonts w:hint="eastAsia" w:ascii="宋体" w:hAnsi="宋体"/>
          <w:color w:val="000000" w:themeColor="text1"/>
          <w:sz w:val="24"/>
          <w:szCs w:val="20"/>
          <w:highlight w:val="none"/>
          <w:lang w:val="zh-CN"/>
          <w14:textFill>
            <w14:solidFill>
              <w14:schemeClr w14:val="tx1"/>
            </w14:solidFill>
          </w14:textFill>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olor w:val="000000" w:themeColor="text1"/>
          <w:sz w:val="24"/>
          <w:szCs w:val="20"/>
          <w:highlight w:val="none"/>
          <w14:textFill>
            <w14:solidFill>
              <w14:schemeClr w14:val="tx1"/>
            </w14:solidFill>
          </w14:textFill>
        </w:rPr>
        <w:t>江苏</w:t>
      </w:r>
      <w:r>
        <w:rPr>
          <w:rFonts w:hint="eastAsia" w:ascii="宋体" w:hAnsi="宋体"/>
          <w:color w:val="000000" w:themeColor="text1"/>
          <w:sz w:val="24"/>
          <w:szCs w:val="20"/>
          <w:highlight w:val="none"/>
          <w:lang w:val="zh-CN"/>
          <w14:textFill>
            <w14:solidFill>
              <w14:schemeClr w14:val="tx1"/>
            </w14:solidFill>
          </w14:textFill>
        </w:rPr>
        <w:t>政府采购网“政采贷”栏目）申请贷款，相关金融机构按照双方自愿的原则提供便捷、优惠的贷款服务；具体操作流程请参考苏采云系统中操作手册。</w:t>
      </w:r>
    </w:p>
    <w:p w14:paraId="0C792062">
      <w:pPr>
        <w:widowControl/>
        <w:spacing w:line="520" w:lineRule="exact"/>
        <w:ind w:firstLine="480"/>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32.2进口产品</w:t>
      </w:r>
    </w:p>
    <w:p w14:paraId="5B3D4258">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C9EF3C">
      <w:pPr>
        <w:widowControl/>
        <w:spacing w:line="520" w:lineRule="exact"/>
        <w:ind w:firstLine="480"/>
        <w:rPr>
          <w:rFonts w:ascii="宋体" w:hAnsi="宋体"/>
          <w:b/>
          <w:bCs/>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32.3中小企业、监狱企业及残疾人福利性单位</w:t>
      </w:r>
    </w:p>
    <w:p w14:paraId="337AE83E">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32.3.1中小企业定义：</w:t>
      </w:r>
    </w:p>
    <w:p w14:paraId="3CD3E81C">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E43ACAD">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32.3.2供应商提供的货物、工程或者服务符合下列情形的，享受中小企业扶持政策：</w:t>
      </w:r>
    </w:p>
    <w:p w14:paraId="695FEB7F">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32.3.2.1在货物采购项目中，货物由中小企业制造，即货物由中小企业生产且使用该中小企业商号或者注册商标；</w:t>
      </w:r>
    </w:p>
    <w:p w14:paraId="60725E05">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32.3.2.2在工程采购项目中，工程由中小企业承建，即工程施工单位为中小企业；</w:t>
      </w:r>
    </w:p>
    <w:p w14:paraId="21C78093">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32.3.2.3在服务采购项目中，服务由中小企业承接，即提供服务的人员为中小企业依照《中华人民共和国劳动合同法》订立劳动合同的从业人员。</w:t>
      </w:r>
    </w:p>
    <w:p w14:paraId="47795ADA">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32.3.3在货物采购项目中，供应商提供的货物既有中小企业制造货物，也有大型企业制造货物的，不享受中小企业扶持政策。</w:t>
      </w:r>
    </w:p>
    <w:p w14:paraId="26F6B76E">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32.3.4以联合体形式参加政府采购活动，联合体各方均为中小企业的，联合体视同中小企业。其中，联合体各方均为小微企业的，联合体视同小微企业。</w:t>
      </w:r>
    </w:p>
    <w:p w14:paraId="11CCEA95">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E1C72D">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32.3.6残疾人福利单位定义：享受政府采购支持政策的残疾人福利性单位应当同时满足以下条件：</w:t>
      </w:r>
    </w:p>
    <w:p w14:paraId="70841905">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32.3.6.1安置的残疾人占本单位在职职工人数的比例不低于25%（含25%），并且安置的残疾人人数不少于10 人（含10 人）；</w:t>
      </w:r>
    </w:p>
    <w:p w14:paraId="424CB2A4">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32.3.6.2依法与安置的每位残疾人签订了一年以上（含一年）的劳动合同或服务协议；</w:t>
      </w:r>
    </w:p>
    <w:p w14:paraId="564AE8CC">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32.3.6.3为安置的每位残疾人按月足额缴纳了基本养老保险、基本医疗保险、失业保险、工伤保险和生育保险等社会保险费；</w:t>
      </w:r>
    </w:p>
    <w:p w14:paraId="3A8E2ABA">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32.3.6.4通过银行等金融机构向安置的每位残疾人，按月支付了不低于单位所在区县适用的经省级人民政府批准的月最低工资标准的工资；</w:t>
      </w:r>
    </w:p>
    <w:p w14:paraId="684A3A64">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32.3.6.5提供本单位制造的货物、承担的工程或者服务（以下简称产品），或者提供其他残疾人福利性单位制造的货物（不包括使用非残疾人福利性单位注册商标的货物）；</w:t>
      </w:r>
    </w:p>
    <w:p w14:paraId="5F3DDDFF">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638F8C2">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32.3.7本项目是否专门面向中小企业预留采购份额见第一章《招标公告》。</w:t>
      </w:r>
    </w:p>
    <w:p w14:paraId="15342400">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32.3.8采购标的对应的中小企业划分标准所属行业见第</w:t>
      </w:r>
      <w:r>
        <w:rPr>
          <w:rFonts w:hint="eastAsia" w:ascii="宋体" w:hAnsi="宋体"/>
          <w:color w:val="000000" w:themeColor="text1"/>
          <w:sz w:val="24"/>
          <w:szCs w:val="20"/>
          <w:highlight w:val="none"/>
          <w:lang w:val="en-US" w:eastAsia="zh-CN"/>
          <w14:textFill>
            <w14:solidFill>
              <w14:schemeClr w14:val="tx1"/>
            </w14:solidFill>
          </w14:textFill>
        </w:rPr>
        <w:t>三</w:t>
      </w:r>
      <w:r>
        <w:rPr>
          <w:rFonts w:hint="eastAsia" w:ascii="宋体" w:hAnsi="宋体"/>
          <w:color w:val="000000" w:themeColor="text1"/>
          <w:sz w:val="24"/>
          <w:szCs w:val="20"/>
          <w:highlight w:val="none"/>
          <w:lang w:val="zh-CN"/>
          <w14:textFill>
            <w14:solidFill>
              <w14:schemeClr w14:val="tx1"/>
            </w14:solidFill>
          </w14:textFill>
        </w:rPr>
        <w:t>章《采购需求》。</w:t>
      </w:r>
    </w:p>
    <w:p w14:paraId="23439AB3">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32.3.9小微企业价格评审优惠的政策：见第</w:t>
      </w:r>
      <w:r>
        <w:rPr>
          <w:rFonts w:hint="eastAsia" w:ascii="宋体" w:hAnsi="宋体"/>
          <w:color w:val="000000" w:themeColor="text1"/>
          <w:sz w:val="24"/>
          <w:szCs w:val="20"/>
          <w:highlight w:val="none"/>
          <w:lang w:val="en-US" w:eastAsia="zh-CN"/>
          <w14:textFill>
            <w14:solidFill>
              <w14:schemeClr w14:val="tx1"/>
            </w14:solidFill>
          </w14:textFill>
        </w:rPr>
        <w:t>四</w:t>
      </w:r>
      <w:r>
        <w:rPr>
          <w:rFonts w:hint="eastAsia" w:ascii="宋体" w:hAnsi="宋体"/>
          <w:color w:val="000000" w:themeColor="text1"/>
          <w:sz w:val="24"/>
          <w:szCs w:val="20"/>
          <w:highlight w:val="none"/>
          <w:lang w:val="zh-CN"/>
          <w14:textFill>
            <w14:solidFill>
              <w14:schemeClr w14:val="tx1"/>
            </w14:solidFill>
          </w14:textFill>
        </w:rPr>
        <w:t>章《评标方法和评标标准》。</w:t>
      </w:r>
    </w:p>
    <w:p w14:paraId="1722B7D0">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32.4政府采购节能产品、环境标志产品</w:t>
      </w:r>
    </w:p>
    <w:p w14:paraId="4563AB43">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110E18E">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F2E317B">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32.5绿色包装</w:t>
      </w:r>
    </w:p>
    <w:p w14:paraId="3CDEC654">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DE9849A">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32.6政府采购创新产品</w:t>
      </w:r>
    </w:p>
    <w:p w14:paraId="1A01285B">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采购人优先采购各级政府部门公开发布的有效期内的创新产品、创新服务、首台套、首购首用等《目录》的创新产品。</w:t>
      </w:r>
    </w:p>
    <w:p w14:paraId="26A581C0">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32.7绿色数据中心政策 </w:t>
      </w:r>
    </w:p>
    <w:p w14:paraId="71C3A6C1">
      <w:pPr>
        <w:widowControl/>
        <w:spacing w:line="520" w:lineRule="exact"/>
        <w:ind w:firstLine="480"/>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7272122">
      <w:pPr>
        <w:tabs>
          <w:tab w:val="left" w:pos="900"/>
        </w:tabs>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32.8履约保证金政策</w:t>
      </w:r>
    </w:p>
    <w:p w14:paraId="50E2FE5F">
      <w:pPr>
        <w:tabs>
          <w:tab w:val="left" w:pos="900"/>
        </w:tabs>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确需收取履约保证金的，履约保证金的缴纳形式：</w:t>
      </w:r>
    </w:p>
    <w:p w14:paraId="06992524">
      <w:pPr>
        <w:tabs>
          <w:tab w:val="left" w:pos="900"/>
        </w:tabs>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80FFCF8">
      <w:pPr>
        <w:tabs>
          <w:tab w:val="left" w:pos="900"/>
        </w:tabs>
        <w:spacing w:line="500" w:lineRule="exact"/>
        <w:ind w:firstLine="480"/>
        <w:jc w:val="left"/>
        <w:rPr>
          <w:rFonts w:hint="eastAsia"/>
          <w:b/>
          <w:color w:val="000000" w:themeColor="text1"/>
          <w:sz w:val="44"/>
          <w:szCs w:val="44"/>
          <w:highlight w:val="none"/>
          <w:lang w:val="en-US" w:eastAsia="zh-CN"/>
          <w14:textFill>
            <w14:solidFill>
              <w14:schemeClr w14:val="tx1"/>
            </w14:solidFill>
          </w14:textFill>
        </w:rPr>
        <w:sectPr>
          <w:footerReference r:id="rId8" w:type="default"/>
          <w:pgSz w:w="11906" w:h="16838"/>
          <w:pgMar w:top="1440" w:right="1587" w:bottom="1440" w:left="1587" w:header="851" w:footer="907" w:gutter="0"/>
          <w:pgBorders>
            <w:top w:val="none" w:sz="0" w:space="0"/>
            <w:left w:val="none" w:sz="0" w:space="0"/>
            <w:bottom w:val="none" w:sz="0" w:space="0"/>
            <w:right w:val="none" w:sz="0" w:space="0"/>
          </w:pgBorders>
          <w:cols w:space="720" w:num="1"/>
        </w:sectPr>
      </w:pPr>
      <w:r>
        <w:rPr>
          <w:rFonts w:hint="eastAsia" w:ascii="宋体" w:hAnsi="宋体"/>
          <w:color w:val="000000" w:themeColor="text1"/>
          <w:sz w:val="24"/>
          <w:highlight w:val="none"/>
          <w14:textFill>
            <w14:solidFill>
              <w14:schemeClr w14:val="tx1"/>
            </w14:solidFill>
          </w14:textFill>
        </w:rPr>
        <w:t xml:space="preserve"> 如以履约保函（保险）形式缴纳履约保证金，供应商可通过政府采购电子履约保函（保险）平台（www.jsdzbh.com）在线申请履约保函（保险）。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部门备案的第三方信用报告，且信用报告通过“信用盐城网”可查实），免收履约保证金或降低履约保证金缴纳比例合同金额的</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w:t>
      </w:r>
    </w:p>
    <w:p w14:paraId="1643CC63">
      <w:pPr>
        <w:pageBreakBefore w:val="0"/>
        <w:numPr>
          <w:ilvl w:val="0"/>
          <w:numId w:val="0"/>
        </w:numPr>
        <w:spacing w:line="520" w:lineRule="exact"/>
        <w:ind w:leftChars="0"/>
        <w:jc w:val="center"/>
        <w:outlineLvl w:val="0"/>
        <w:rPr>
          <w:rFonts w:hint="eastAsia" w:ascii="宋体" w:hAnsi="宋体" w:eastAsia="宋体" w:cs="宋体"/>
          <w:color w:val="auto"/>
          <w:sz w:val="28"/>
          <w:szCs w:val="36"/>
          <w:highlight w:val="none"/>
        </w:rPr>
      </w:pPr>
      <w:r>
        <w:rPr>
          <w:rFonts w:hint="eastAsia"/>
          <w:b/>
          <w:color w:val="000000" w:themeColor="text1"/>
          <w:sz w:val="44"/>
          <w:szCs w:val="44"/>
          <w:highlight w:val="none"/>
          <w:lang w:val="en-US" w:eastAsia="zh-CN"/>
          <w14:textFill>
            <w14:solidFill>
              <w14:schemeClr w14:val="tx1"/>
            </w14:solidFill>
          </w14:textFill>
        </w:rPr>
        <w:t>第三章 采购</w:t>
      </w:r>
      <w:r>
        <w:rPr>
          <w:rFonts w:hint="eastAsia"/>
          <w:b/>
          <w:color w:val="000000" w:themeColor="text1"/>
          <w:sz w:val="44"/>
          <w:szCs w:val="44"/>
          <w:highlight w:val="none"/>
          <w14:textFill>
            <w14:solidFill>
              <w14:schemeClr w14:val="tx1"/>
            </w14:solidFill>
          </w14:textFill>
        </w:rPr>
        <w:t>需求</w:t>
      </w:r>
      <w:bookmarkEnd w:id="32"/>
      <w:bookmarkEnd w:id="33"/>
      <w:bookmarkEnd w:id="34"/>
      <w:bookmarkEnd w:id="35"/>
      <w:bookmarkEnd w:id="36"/>
      <w:bookmarkStart w:id="174" w:name="_Toc26554093"/>
      <w:bookmarkStart w:id="175" w:name="_Toc29632"/>
      <w:bookmarkStart w:id="176" w:name="_Toc120614281"/>
      <w:bookmarkStart w:id="177" w:name="_Toc49090575"/>
      <w:bookmarkStart w:id="178" w:name="_Toc479757211"/>
      <w:bookmarkStart w:id="179" w:name="_Toc462564139"/>
    </w:p>
    <w:p w14:paraId="5C8827D6">
      <w:pPr>
        <w:keepNext w:val="0"/>
        <w:keepLines w:val="0"/>
        <w:pageBreakBefore w:val="0"/>
        <w:widowControl/>
        <w:spacing w:line="336" w:lineRule="auto"/>
        <w:ind w:firstLine="482"/>
        <w:jc w:val="left"/>
        <w:rPr>
          <w:rFonts w:hint="eastAsia" w:ascii="宋体" w:hAnsi="宋体" w:eastAsia="宋体" w:cs="宋体"/>
          <w:b/>
          <w:bCs/>
          <w:sz w:val="24"/>
          <w:szCs w:val="24"/>
          <w:highlight w:val="none"/>
        </w:rPr>
      </w:pPr>
      <w:r>
        <w:rPr>
          <w:rFonts w:hint="eastAsia" w:ascii="宋体" w:hAnsi="宋体" w:eastAsia="宋体" w:cs="宋体"/>
          <w:b/>
          <w:color w:val="000000"/>
          <w:sz w:val="24"/>
          <w:szCs w:val="24"/>
          <w:lang w:val="en-US" w:eastAsia="zh-CN"/>
        </w:rPr>
        <w:t>一</w:t>
      </w:r>
      <w:r>
        <w:rPr>
          <w:rFonts w:hint="eastAsia" w:ascii="宋体" w:hAnsi="宋体" w:eastAsia="宋体" w:cs="宋体"/>
          <w:b/>
          <w:color w:val="000000"/>
          <w:sz w:val="24"/>
          <w:szCs w:val="24"/>
        </w:rPr>
        <w:t>、</w:t>
      </w:r>
      <w:r>
        <w:rPr>
          <w:rFonts w:hint="eastAsia" w:ascii="宋体" w:hAnsi="宋体" w:eastAsia="宋体" w:cs="宋体"/>
          <w:b/>
          <w:bCs/>
          <w:sz w:val="24"/>
          <w:szCs w:val="24"/>
          <w:highlight w:val="none"/>
        </w:rPr>
        <w:t>采购标的对应的中小企业划分标准所属行业一览表</w:t>
      </w:r>
    </w:p>
    <w:tbl>
      <w:tblPr>
        <w:tblStyle w:val="52"/>
        <w:tblW w:w="9326"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830"/>
        <w:gridCol w:w="4951"/>
        <w:gridCol w:w="3545"/>
      </w:tblGrid>
      <w:tr w14:paraId="3C5F3D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9" w:hRule="atLeast"/>
          <w:tblCellSpacing w:w="0" w:type="dxa"/>
          <w:jc w:val="center"/>
        </w:trPr>
        <w:tc>
          <w:tcPr>
            <w:tcW w:w="830" w:type="dxa"/>
            <w:shd w:val="clear" w:color="auto" w:fill="auto"/>
            <w:noWrap w:val="0"/>
            <w:vAlign w:val="center"/>
          </w:tcPr>
          <w:p w14:paraId="38331A35">
            <w:pPr>
              <w:pStyle w:val="46"/>
              <w:spacing w:beforeAutospacing="0" w:afterAutospacing="0"/>
              <w:jc w:val="center"/>
              <w:rPr>
                <w:rFonts w:ascii="宋体" w:hAnsi="宋体" w:cs="宋体"/>
                <w:sz w:val="21"/>
                <w:szCs w:val="20"/>
              </w:rPr>
            </w:pPr>
            <w:r>
              <w:rPr>
                <w:rFonts w:hint="eastAsia" w:ascii="宋体" w:hAnsi="宋体" w:cs="宋体"/>
                <w:sz w:val="21"/>
                <w:szCs w:val="20"/>
              </w:rPr>
              <w:t>序号</w:t>
            </w:r>
          </w:p>
        </w:tc>
        <w:tc>
          <w:tcPr>
            <w:tcW w:w="4951" w:type="dxa"/>
            <w:shd w:val="clear" w:color="auto" w:fill="auto"/>
            <w:noWrap w:val="0"/>
            <w:vAlign w:val="center"/>
          </w:tcPr>
          <w:p w14:paraId="4E98FC68">
            <w:pPr>
              <w:pStyle w:val="46"/>
              <w:spacing w:beforeAutospacing="0" w:afterAutospacing="0"/>
              <w:jc w:val="center"/>
              <w:rPr>
                <w:rFonts w:ascii="宋体" w:hAnsi="宋体" w:cs="宋体"/>
                <w:sz w:val="21"/>
                <w:szCs w:val="20"/>
              </w:rPr>
            </w:pPr>
            <w:r>
              <w:rPr>
                <w:rFonts w:hint="eastAsia" w:ascii="宋体" w:hAnsi="宋体" w:cs="宋体"/>
                <w:sz w:val="21"/>
                <w:szCs w:val="20"/>
              </w:rPr>
              <w:t>采购标的</w:t>
            </w:r>
          </w:p>
        </w:tc>
        <w:tc>
          <w:tcPr>
            <w:tcW w:w="3545" w:type="dxa"/>
            <w:shd w:val="clear" w:color="auto" w:fill="auto"/>
            <w:noWrap w:val="0"/>
            <w:vAlign w:val="center"/>
          </w:tcPr>
          <w:p w14:paraId="0244AA20">
            <w:pPr>
              <w:pStyle w:val="46"/>
              <w:spacing w:beforeAutospacing="0" w:afterAutospacing="0"/>
              <w:jc w:val="center"/>
              <w:rPr>
                <w:rFonts w:ascii="宋体" w:hAnsi="宋体" w:cs="宋体"/>
                <w:sz w:val="21"/>
                <w:szCs w:val="20"/>
              </w:rPr>
            </w:pPr>
            <w:r>
              <w:rPr>
                <w:rFonts w:hint="eastAsia" w:ascii="宋体" w:hAnsi="宋体" w:cs="宋体"/>
                <w:sz w:val="21"/>
                <w:szCs w:val="20"/>
              </w:rPr>
              <w:t>对应中小企业划分标准所属行业</w:t>
            </w:r>
          </w:p>
        </w:tc>
      </w:tr>
      <w:tr w14:paraId="438B4B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9" w:hRule="atLeast"/>
          <w:tblCellSpacing w:w="0" w:type="dxa"/>
          <w:jc w:val="center"/>
        </w:trPr>
        <w:tc>
          <w:tcPr>
            <w:tcW w:w="830" w:type="dxa"/>
            <w:shd w:val="clear" w:color="auto" w:fill="auto"/>
            <w:noWrap w:val="0"/>
            <w:vAlign w:val="center"/>
          </w:tcPr>
          <w:p w14:paraId="6C438081">
            <w:pPr>
              <w:pStyle w:val="46"/>
              <w:spacing w:beforeAutospacing="0" w:afterAutospacing="0"/>
              <w:jc w:val="center"/>
              <w:rPr>
                <w:rFonts w:hint="eastAsia" w:ascii="宋体" w:hAnsi="宋体" w:cs="宋体"/>
                <w:sz w:val="21"/>
                <w:szCs w:val="20"/>
              </w:rPr>
            </w:pPr>
            <w:r>
              <w:rPr>
                <w:rFonts w:hint="eastAsia" w:ascii="宋体" w:hAnsi="宋体" w:cs="宋体"/>
                <w:sz w:val="21"/>
                <w:szCs w:val="20"/>
              </w:rPr>
              <w:t>1</w:t>
            </w:r>
          </w:p>
        </w:tc>
        <w:tc>
          <w:tcPr>
            <w:tcW w:w="4951" w:type="dxa"/>
            <w:shd w:val="clear" w:color="auto" w:fill="auto"/>
            <w:noWrap w:val="0"/>
            <w:vAlign w:val="center"/>
          </w:tcPr>
          <w:p w14:paraId="694655C7">
            <w:pPr>
              <w:pStyle w:val="46"/>
              <w:spacing w:beforeAutospacing="0" w:afterAutospacing="0"/>
              <w:jc w:val="center"/>
              <w:rPr>
                <w:rFonts w:hint="eastAsia" w:ascii="宋体" w:hAnsi="宋体" w:cs="宋体"/>
                <w:sz w:val="21"/>
                <w:szCs w:val="20"/>
                <w:lang w:eastAsia="zh-CN"/>
              </w:rPr>
            </w:pPr>
            <w:r>
              <w:rPr>
                <w:rFonts w:hint="eastAsia" w:ascii="宋体" w:hAnsi="宋体" w:cs="宋体"/>
                <w:sz w:val="21"/>
                <w:szCs w:val="20"/>
                <w:lang w:eastAsia="zh-CN"/>
              </w:rPr>
              <w:t>盐城市大丰人民医院血液科层流病房改造及设备采购项目</w:t>
            </w:r>
          </w:p>
        </w:tc>
        <w:tc>
          <w:tcPr>
            <w:tcW w:w="3545" w:type="dxa"/>
            <w:shd w:val="clear" w:color="auto" w:fill="auto"/>
            <w:noWrap w:val="0"/>
            <w:vAlign w:val="center"/>
          </w:tcPr>
          <w:p w14:paraId="2B97B2D5">
            <w:pPr>
              <w:pStyle w:val="46"/>
              <w:spacing w:beforeAutospacing="0" w:afterAutospacing="0"/>
              <w:jc w:val="center"/>
              <w:rPr>
                <w:rFonts w:ascii="宋体" w:hAnsi="宋体" w:cs="宋体"/>
                <w:sz w:val="21"/>
                <w:szCs w:val="20"/>
              </w:rPr>
            </w:pPr>
            <w:r>
              <w:rPr>
                <w:rFonts w:hint="eastAsia" w:ascii="宋体" w:hAnsi="宋体" w:cs="宋体"/>
                <w:sz w:val="21"/>
                <w:szCs w:val="20"/>
              </w:rPr>
              <w:t>其他未列明行业</w:t>
            </w:r>
          </w:p>
        </w:tc>
      </w:tr>
    </w:tbl>
    <w:p w14:paraId="47DF2D9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移植洁净层流病房</w:t>
      </w:r>
      <w:r>
        <w:rPr>
          <w:rFonts w:hint="eastAsia" w:ascii="宋体" w:hAnsi="宋体" w:eastAsia="宋体" w:cs="宋体"/>
          <w:b/>
          <w:bCs/>
          <w:color w:val="auto"/>
          <w:sz w:val="24"/>
          <w:szCs w:val="24"/>
          <w:highlight w:val="none"/>
          <w:lang w:eastAsia="zh-CN"/>
        </w:rPr>
        <w:t>总体要求（</w:t>
      </w:r>
      <w:r>
        <w:rPr>
          <w:rFonts w:hint="eastAsia" w:ascii="宋体" w:hAnsi="宋体" w:eastAsia="宋体" w:cs="宋体"/>
          <w:b/>
          <w:bCs/>
          <w:color w:val="auto"/>
          <w:sz w:val="24"/>
          <w:szCs w:val="24"/>
          <w:highlight w:val="none"/>
          <w:lang w:val="en-US" w:eastAsia="zh-CN"/>
        </w:rPr>
        <w:t>本项内容必须响应，不参与技术参数评分</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需提供承诺函，格式自拟</w:t>
      </w:r>
      <w:r>
        <w:rPr>
          <w:rFonts w:hint="eastAsia" w:ascii="宋体" w:hAnsi="宋体" w:eastAsia="宋体" w:cs="宋体"/>
          <w:b/>
          <w:bCs/>
          <w:color w:val="auto"/>
          <w:sz w:val="24"/>
          <w:szCs w:val="24"/>
          <w:highlight w:val="none"/>
          <w:lang w:eastAsia="zh-CN"/>
        </w:rPr>
        <w:t>）</w:t>
      </w:r>
    </w:p>
    <w:p w14:paraId="05FE8E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lang w:val="en-US" w:eastAsia="zh-CN"/>
        </w:rPr>
        <w:t>利用</w:t>
      </w:r>
      <w:r>
        <w:rPr>
          <w:rFonts w:hint="default" w:ascii="宋体" w:hAnsi="宋体" w:eastAsia="宋体" w:cs="宋体"/>
          <w:color w:val="auto"/>
          <w:sz w:val="24"/>
          <w:szCs w:val="24"/>
          <w:highlight w:val="none"/>
          <w:lang w:eastAsia="zh-CN"/>
        </w:rPr>
        <w:t>原有病房</w:t>
      </w:r>
      <w:r>
        <w:rPr>
          <w:rFonts w:hint="eastAsia" w:ascii="宋体" w:hAnsi="宋体" w:eastAsia="宋体" w:cs="宋体"/>
          <w:color w:val="auto"/>
          <w:sz w:val="24"/>
          <w:szCs w:val="24"/>
          <w:highlight w:val="none"/>
          <w:lang w:val="en-US" w:eastAsia="zh-CN"/>
        </w:rPr>
        <w:t>走廊末端2间普通病房，</w:t>
      </w:r>
      <w:r>
        <w:rPr>
          <w:rFonts w:hint="default" w:ascii="宋体" w:hAnsi="宋体" w:eastAsia="宋体" w:cs="宋体"/>
          <w:color w:val="auto"/>
          <w:sz w:val="24"/>
          <w:szCs w:val="24"/>
          <w:highlight w:val="none"/>
          <w:lang w:eastAsia="zh-CN"/>
        </w:rPr>
        <w:t>改</w:t>
      </w:r>
      <w:r>
        <w:rPr>
          <w:rFonts w:hint="eastAsia" w:ascii="宋体" w:hAnsi="宋体" w:eastAsia="宋体" w:cs="宋体"/>
          <w:color w:val="auto"/>
          <w:sz w:val="24"/>
          <w:szCs w:val="24"/>
          <w:highlight w:val="none"/>
          <w:lang w:val="en-US" w:eastAsia="zh-CN"/>
        </w:rPr>
        <w:t>设置移植仓1间</w:t>
      </w:r>
      <w:r>
        <w:rPr>
          <w:rFonts w:hint="default" w:ascii="宋体" w:hAnsi="宋体" w:eastAsia="宋体" w:cs="宋体"/>
          <w:color w:val="auto"/>
          <w:sz w:val="24"/>
          <w:szCs w:val="24"/>
          <w:highlight w:val="none"/>
          <w:lang w:eastAsia="zh-CN"/>
        </w:rPr>
        <w:t>（洁净度百级）</w:t>
      </w:r>
      <w:r>
        <w:rPr>
          <w:rFonts w:hint="eastAsia" w:ascii="宋体" w:hAnsi="宋体" w:eastAsia="宋体" w:cs="宋体"/>
          <w:color w:val="auto"/>
          <w:sz w:val="24"/>
          <w:szCs w:val="24"/>
          <w:highlight w:val="none"/>
          <w:lang w:val="en-US" w:eastAsia="zh-CN"/>
        </w:rPr>
        <w:t>，过渡病房1间</w:t>
      </w:r>
      <w:r>
        <w:rPr>
          <w:rFonts w:hint="default" w:ascii="宋体" w:hAnsi="宋体" w:eastAsia="宋体" w:cs="宋体"/>
          <w:color w:val="auto"/>
          <w:sz w:val="24"/>
          <w:szCs w:val="24"/>
          <w:highlight w:val="none"/>
          <w:lang w:eastAsia="zh-CN"/>
        </w:rPr>
        <w:t>（洁净度千级），过渡走廊（洁净度万级）。实现造血干细胞移植环境要求。</w:t>
      </w:r>
    </w:p>
    <w:p w14:paraId="3582B2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备注：不修改原有病房水路，消防管路</w:t>
      </w:r>
      <w:r>
        <w:rPr>
          <w:rFonts w:hint="eastAsia" w:ascii="宋体" w:hAnsi="宋体" w:eastAsia="宋体" w:cs="宋体"/>
          <w:color w:val="auto"/>
          <w:sz w:val="24"/>
          <w:szCs w:val="24"/>
          <w:highlight w:val="none"/>
          <w:lang w:eastAsia="zh-CN"/>
        </w:rPr>
        <w:t>，对</w:t>
      </w:r>
      <w:r>
        <w:rPr>
          <w:rFonts w:hint="default" w:ascii="宋体" w:hAnsi="宋体" w:eastAsia="宋体" w:cs="宋体"/>
          <w:color w:val="auto"/>
          <w:sz w:val="24"/>
          <w:szCs w:val="24"/>
          <w:highlight w:val="none"/>
          <w:lang w:eastAsia="zh-CN"/>
        </w:rPr>
        <w:t>原有病房门改为钢制净化门。</w:t>
      </w:r>
    </w:p>
    <w:p w14:paraId="6D4037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1、移植病房</w:t>
      </w:r>
      <w:r>
        <w:rPr>
          <w:rFonts w:hint="default" w:ascii="宋体" w:hAnsi="宋体" w:eastAsia="宋体" w:cs="宋体"/>
          <w:color w:val="auto"/>
          <w:sz w:val="24"/>
          <w:szCs w:val="24"/>
          <w:highlight w:val="none"/>
          <w:lang w:eastAsia="zh-CN"/>
        </w:rPr>
        <w:t>拆除吊顶，墙面装饰等，改使用手术室级别材料</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eastAsia="zh-CN"/>
        </w:rPr>
        <w:t>中空玻镁板净化板进行内部装饰</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eastAsia="zh-CN"/>
        </w:rPr>
        <w:t>将</w:t>
      </w:r>
      <w:r>
        <w:rPr>
          <w:rFonts w:hint="eastAsia" w:ascii="宋体" w:hAnsi="宋体" w:eastAsia="宋体" w:cs="宋体"/>
          <w:color w:val="auto"/>
          <w:sz w:val="24"/>
          <w:szCs w:val="24"/>
          <w:highlight w:val="none"/>
          <w:lang w:val="en-US" w:eastAsia="zh-CN"/>
        </w:rPr>
        <w:t>原有一间病房分隔为2区3区，洁物与污物出入利用隔断的不同传递</w:t>
      </w:r>
      <w:r>
        <w:rPr>
          <w:rFonts w:hint="default" w:ascii="宋体" w:hAnsi="宋体" w:eastAsia="宋体" w:cs="宋体"/>
          <w:color w:val="auto"/>
          <w:sz w:val="24"/>
          <w:szCs w:val="24"/>
          <w:highlight w:val="none"/>
          <w:lang w:eastAsia="zh-CN"/>
        </w:rPr>
        <w:t>窗</w:t>
      </w:r>
      <w:r>
        <w:rPr>
          <w:rFonts w:hint="eastAsia" w:ascii="宋体" w:hAnsi="宋体" w:eastAsia="宋体" w:cs="宋体"/>
          <w:color w:val="auto"/>
          <w:sz w:val="24"/>
          <w:szCs w:val="24"/>
          <w:highlight w:val="none"/>
          <w:lang w:val="en-US" w:eastAsia="zh-CN"/>
        </w:rPr>
        <w:t>传送，隔断上设置</w:t>
      </w:r>
      <w:r>
        <w:rPr>
          <w:rFonts w:hint="default" w:ascii="宋体" w:hAnsi="宋体" w:eastAsia="宋体" w:cs="宋体"/>
          <w:color w:val="auto"/>
          <w:sz w:val="24"/>
          <w:szCs w:val="24"/>
          <w:highlight w:val="none"/>
          <w:lang w:eastAsia="zh-CN"/>
        </w:rPr>
        <w:t>观察输液窗</w:t>
      </w:r>
      <w:r>
        <w:rPr>
          <w:rFonts w:hint="eastAsia" w:ascii="宋体" w:hAnsi="宋体" w:cs="宋体"/>
          <w:color w:val="auto"/>
          <w:sz w:val="24"/>
          <w:szCs w:val="24"/>
          <w:highlight w:val="none"/>
          <w:lang w:eastAsia="zh-CN"/>
        </w:rPr>
        <w:t>。</w:t>
      </w:r>
    </w:p>
    <w:p w14:paraId="6C9DA9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移植病房配置（净罩内）：</w:t>
      </w:r>
    </w:p>
    <w:p w14:paraId="491172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等离子体空气消毒机洁净罩1套；</w:t>
      </w:r>
    </w:p>
    <w:p w14:paraId="3B776F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净罩内体积约9m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，通过空气循环，可使病人24小时处于微生物百级层流环境。半隔离式的非建筑层流洁净舱设置。</w:t>
      </w:r>
    </w:p>
    <w:p w14:paraId="58B2FF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lang w:val="en-US" w:eastAsia="zh-CN"/>
        </w:rPr>
        <w:t>过渡病房配置：</w:t>
      </w:r>
    </w:p>
    <w:p w14:paraId="7EB917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color w:val="auto"/>
          <w:sz w:val="24"/>
          <w:szCs w:val="24"/>
          <w:highlight w:val="none"/>
          <w:lang w:eastAsia="zh-CN"/>
        </w:rPr>
        <w:t>拆除</w:t>
      </w:r>
      <w:r>
        <w:rPr>
          <w:rFonts w:hint="eastAsia" w:ascii="宋体" w:hAnsi="宋体" w:eastAsia="宋体" w:cs="宋体"/>
          <w:color w:val="auto"/>
          <w:sz w:val="24"/>
          <w:szCs w:val="24"/>
          <w:highlight w:val="none"/>
          <w:lang w:eastAsia="zh-CN"/>
        </w:rPr>
        <w:t>原</w:t>
      </w:r>
      <w:r>
        <w:rPr>
          <w:rFonts w:hint="default" w:ascii="宋体" w:hAnsi="宋体" w:eastAsia="宋体" w:cs="宋体"/>
          <w:color w:val="auto"/>
          <w:sz w:val="24"/>
          <w:szCs w:val="24"/>
          <w:highlight w:val="none"/>
          <w:lang w:eastAsia="zh-CN"/>
        </w:rPr>
        <w:t>吊顶</w:t>
      </w:r>
      <w:r>
        <w:rPr>
          <w:rFonts w:hint="eastAsia" w:ascii="宋体" w:hAnsi="宋体" w:eastAsia="宋体" w:cs="宋体"/>
          <w:color w:val="auto"/>
          <w:sz w:val="24"/>
          <w:szCs w:val="24"/>
          <w:highlight w:val="none"/>
          <w:lang w:eastAsia="zh-CN"/>
        </w:rPr>
        <w:t>并</w:t>
      </w:r>
      <w:r>
        <w:rPr>
          <w:rFonts w:hint="default" w:ascii="宋体" w:hAnsi="宋体" w:eastAsia="宋体" w:cs="宋体"/>
          <w:color w:val="auto"/>
          <w:sz w:val="24"/>
          <w:szCs w:val="24"/>
          <w:highlight w:val="none"/>
          <w:lang w:eastAsia="zh-CN"/>
        </w:rPr>
        <w:t>采用中空玻镁板</w:t>
      </w:r>
      <w:r>
        <w:rPr>
          <w:rFonts w:hint="eastAsia" w:ascii="宋体" w:hAnsi="宋体" w:eastAsia="宋体" w:cs="宋体"/>
          <w:color w:val="auto"/>
          <w:sz w:val="24"/>
          <w:szCs w:val="24"/>
          <w:highlight w:val="none"/>
          <w:lang w:eastAsia="zh-CN"/>
        </w:rPr>
        <w:t>进行</w:t>
      </w:r>
      <w:r>
        <w:rPr>
          <w:rFonts w:hint="default" w:ascii="宋体" w:hAnsi="宋体" w:eastAsia="宋体" w:cs="宋体"/>
          <w:color w:val="auto"/>
          <w:sz w:val="24"/>
          <w:szCs w:val="24"/>
          <w:highlight w:val="none"/>
          <w:lang w:eastAsia="zh-CN"/>
        </w:rPr>
        <w:t>吊顶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等离子空气消毒机1台；通过空气循环，可使环境24小时处于微生物千级层流；</w:t>
      </w:r>
    </w:p>
    <w:p w14:paraId="7C1D52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lang w:val="en-US" w:eastAsia="zh-CN"/>
        </w:rPr>
        <w:t>缓冲区配置（移植病房内）：</w:t>
      </w:r>
    </w:p>
    <w:p w14:paraId="06F4C0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等离子空气消毒机1台；通过空气循环，可使环境24小时处于微生物千级层流；</w:t>
      </w:r>
    </w:p>
    <w:p w14:paraId="180BEB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r>
        <w:rPr>
          <w:rFonts w:hint="default" w:ascii="宋体" w:hAnsi="宋体" w:eastAsia="宋体" w:cs="宋体"/>
          <w:color w:val="auto"/>
          <w:kern w:val="2"/>
          <w:sz w:val="24"/>
          <w:szCs w:val="24"/>
          <w:highlight w:val="none"/>
          <w:lang w:eastAsia="zh-CN" w:bidi="ar-SA"/>
        </w:rPr>
        <w:t>过渡病房</w:t>
      </w:r>
      <w:r>
        <w:rPr>
          <w:rFonts w:hint="eastAsia" w:ascii="宋体" w:hAnsi="宋体" w:eastAsia="宋体" w:cs="宋体"/>
          <w:color w:val="auto"/>
          <w:sz w:val="24"/>
          <w:szCs w:val="24"/>
          <w:highlight w:val="none"/>
          <w:lang w:val="en-US" w:eastAsia="zh-CN"/>
        </w:rPr>
        <w:t>房间墙面保留原有护墙板，护墙板以上区域用白色水性乳胶漆粉刷；</w:t>
      </w:r>
    </w:p>
    <w:p w14:paraId="56BFE5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6、房间空调采用</w:t>
      </w:r>
      <w:r>
        <w:rPr>
          <w:rFonts w:hint="default" w:ascii="宋体" w:hAnsi="宋体" w:eastAsia="宋体" w:cs="宋体"/>
          <w:color w:val="auto"/>
          <w:sz w:val="24"/>
          <w:szCs w:val="24"/>
          <w:highlight w:val="none"/>
          <w:lang w:eastAsia="zh-CN"/>
        </w:rPr>
        <w:t>独立的空调机组实现整体区域恒温，恒湿控制</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eastAsia="zh-CN"/>
        </w:rPr>
        <w:t>采用新风机组各区域送风，过渡病房和移植舱新风洁净度到千级。缓冲区域，走道区域新风洁净度到万级。</w:t>
      </w:r>
    </w:p>
    <w:p w14:paraId="61CAC1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7、在公共走廊设置1套风淋系统</w:t>
      </w:r>
      <w:r>
        <w:rPr>
          <w:rFonts w:hint="default" w:ascii="宋体" w:hAnsi="宋体" w:eastAsia="宋体" w:cs="宋体"/>
          <w:color w:val="auto"/>
          <w:sz w:val="24"/>
          <w:szCs w:val="24"/>
          <w:highlight w:val="none"/>
          <w:lang w:eastAsia="zh-CN"/>
        </w:rPr>
        <w:t>；</w:t>
      </w:r>
    </w:p>
    <w:p w14:paraId="72C33A4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lang w:eastAsia="zh-CN"/>
        </w:rPr>
        <w:t>全区域增加摄像监控系统。硬盘录像和监控实时显示屏设在护士站，方便及时对于移植病房的管理。</w:t>
      </w:r>
    </w:p>
    <w:p w14:paraId="4EB413C4">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9、免费维保期内设备维保及运行耗材均免费提供，质保期后4台医疗设备每年维保费（含耗材）总价不高于10000元。</w:t>
      </w:r>
    </w:p>
    <w:p w14:paraId="795DED6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移植洁净层流病房-技术</w:t>
      </w:r>
      <w:r>
        <w:rPr>
          <w:rFonts w:hint="eastAsia" w:ascii="宋体" w:hAnsi="宋体" w:eastAsia="宋体" w:cs="宋体"/>
          <w:b/>
          <w:bCs/>
          <w:color w:val="auto"/>
          <w:sz w:val="24"/>
          <w:szCs w:val="24"/>
          <w:highlight w:val="none"/>
          <w:lang w:eastAsia="zh-CN"/>
        </w:rPr>
        <w:t>要求</w:t>
      </w:r>
    </w:p>
    <w:p w14:paraId="1EF85DBB">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由移动式等离子体空气消毒机和</w:t>
      </w:r>
      <w:r>
        <w:rPr>
          <w:rFonts w:hint="eastAsia" w:ascii="宋体" w:hAnsi="宋体" w:eastAsia="宋体" w:cs="宋体"/>
          <w:color w:val="auto"/>
          <w:sz w:val="24"/>
          <w:szCs w:val="24"/>
          <w:highlight w:val="none"/>
          <w:lang w:val="en-US" w:eastAsia="zh-CN"/>
        </w:rPr>
        <w:t>洁净罩</w:t>
      </w:r>
      <w:r>
        <w:rPr>
          <w:rFonts w:hint="eastAsia" w:ascii="宋体" w:hAnsi="宋体" w:eastAsia="宋体" w:cs="宋体"/>
          <w:color w:val="auto"/>
          <w:sz w:val="24"/>
          <w:szCs w:val="24"/>
          <w:highlight w:val="none"/>
        </w:rPr>
        <w:t>组合形成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满足造血干细胞移植技术要求。</w:t>
      </w:r>
    </w:p>
    <w:p w14:paraId="16874807">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w:t>
      </w:r>
      <w:r>
        <w:rPr>
          <w:rFonts w:hint="eastAsia" w:ascii="宋体" w:hAnsi="宋体" w:eastAsia="宋体" w:cs="宋体"/>
          <w:b/>
          <w:bCs/>
          <w:color w:val="auto"/>
          <w:sz w:val="24"/>
          <w:szCs w:val="24"/>
          <w:highlight w:val="none"/>
        </w:rPr>
        <w:t>移动式等离子体空气消毒机和</w:t>
      </w:r>
      <w:r>
        <w:rPr>
          <w:rFonts w:hint="eastAsia" w:ascii="宋体" w:hAnsi="宋体" w:eastAsia="宋体" w:cs="宋体"/>
          <w:b/>
          <w:bCs/>
          <w:color w:val="auto"/>
          <w:sz w:val="24"/>
          <w:szCs w:val="24"/>
          <w:highlight w:val="none"/>
          <w:lang w:val="en-US" w:eastAsia="zh-CN"/>
        </w:rPr>
        <w:t>洁净罩</w:t>
      </w:r>
      <w:r>
        <w:rPr>
          <w:rFonts w:hint="eastAsia" w:ascii="宋体" w:hAnsi="宋体" w:eastAsia="宋体" w:cs="宋体"/>
          <w:b/>
          <w:bCs/>
          <w:color w:val="auto"/>
          <w:sz w:val="24"/>
          <w:szCs w:val="24"/>
          <w:highlight w:val="none"/>
        </w:rPr>
        <w:t>组合使用模式下，可以实现</w:t>
      </w:r>
      <w:r>
        <w:rPr>
          <w:rFonts w:hint="eastAsia" w:ascii="宋体" w:hAnsi="宋体" w:eastAsia="宋体" w:cs="宋体"/>
          <w:b/>
          <w:bCs/>
          <w:color w:val="auto"/>
          <w:sz w:val="24"/>
          <w:szCs w:val="24"/>
          <w:highlight w:val="none"/>
          <w:lang w:val="en-US" w:eastAsia="zh-CN"/>
        </w:rPr>
        <w:t>洁净罩内</w:t>
      </w:r>
      <w:r>
        <w:rPr>
          <w:rFonts w:hint="eastAsia" w:ascii="宋体" w:hAnsi="宋体" w:eastAsia="宋体" w:cs="宋体"/>
          <w:b/>
          <w:bCs/>
          <w:color w:val="auto"/>
          <w:sz w:val="24"/>
          <w:szCs w:val="24"/>
          <w:highlight w:val="none"/>
        </w:rPr>
        <w:t>的空气洁净度达到百级。（提供第三方检测机构出具的检测报告扫描件加盖</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公章佐证）</w:t>
      </w:r>
    </w:p>
    <w:p w14:paraId="1FBB5D5C">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移动式等离子体空气消毒机提供消毒产品省级卫生安全评价报告及消毒产品生产企业卫生许可证。</w:t>
      </w:r>
    </w:p>
    <w:p w14:paraId="4A4149C2">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移动式等离子体空气消毒机可调节风量不少于3档</w:t>
      </w:r>
      <w:r>
        <w:rPr>
          <w:rFonts w:hint="eastAsia" w:ascii="宋体" w:hAnsi="宋体" w:eastAsia="宋体" w:cs="宋体"/>
          <w:color w:val="auto"/>
          <w:sz w:val="24"/>
          <w:szCs w:val="24"/>
          <w:highlight w:val="none"/>
          <w:lang w:eastAsia="zh-CN"/>
        </w:rPr>
        <w:t>。</w:t>
      </w:r>
    </w:p>
    <w:p w14:paraId="1EF085CE">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移动式等离子体空气消毒机运行2h，对试验舱的病毒杀灭率≥99.9%；（提供第三方检测机构出具的检测报告扫描件加盖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公章佐证）</w:t>
      </w:r>
    </w:p>
    <w:p w14:paraId="516437E8">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移动式等离子体空气消毒机运行2h，对实验舱的细菌杀灭率≥99.9%；（提供第三方检测机构出具的检测报告扫描件加盖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公章佐证）</w:t>
      </w:r>
    </w:p>
    <w:p w14:paraId="1A6E4F01">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6.</w:t>
      </w:r>
      <w:r>
        <w:rPr>
          <w:rFonts w:hint="eastAsia" w:ascii="宋体" w:hAnsi="宋体" w:eastAsia="宋体" w:cs="宋体"/>
          <w:color w:val="auto"/>
          <w:sz w:val="24"/>
          <w:szCs w:val="24"/>
          <w:highlight w:val="none"/>
        </w:rPr>
        <w:t>移动式等离子体空气消毒机运行2h，对实验舱的真菌杀灭率≥99.9%；（提供第三方检测机构出具的检测报告扫描件加盖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公章佐证）</w:t>
      </w:r>
    </w:p>
    <w:p w14:paraId="36E07387">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7.</w:t>
      </w:r>
      <w:r>
        <w:rPr>
          <w:rFonts w:hint="eastAsia" w:ascii="宋体" w:hAnsi="宋体" w:eastAsia="宋体" w:cs="宋体"/>
          <w:b/>
          <w:bCs/>
          <w:color w:val="auto"/>
          <w:sz w:val="24"/>
          <w:szCs w:val="24"/>
          <w:highlight w:val="none"/>
        </w:rPr>
        <w:t>移动式等离子体空气消毒机运行120min，对90m³密闭房间空气中自然菌的平均消亡率≥9</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%；（提供具有CMA标识的第三方检测机构出具的检测报告扫描件加盖</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公章佐证）</w:t>
      </w:r>
    </w:p>
    <w:p w14:paraId="764520B5">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8.</w:t>
      </w:r>
      <w:r>
        <w:rPr>
          <w:rFonts w:hint="eastAsia" w:ascii="宋体" w:hAnsi="宋体" w:eastAsia="宋体" w:cs="宋体"/>
          <w:color w:val="auto"/>
          <w:sz w:val="24"/>
          <w:szCs w:val="24"/>
          <w:highlight w:val="none"/>
        </w:rPr>
        <w:t>移动式等离子体空气消毒机运行2h，对密闭的20m³试验舱中的的白色葡萄球菌杀灭率≥99.9%；（提供第三方检测机构出具的检测报告扫描件加盖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公章佐证）</w:t>
      </w:r>
    </w:p>
    <w:p w14:paraId="45528EF9">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.移动式等离子体空气消毒机正常开机作用 60min，对30m³试验舱中的鼠伤寒沙门氏菌的杀灭率≥99.9%；（提供第三方检测机构出具的检测报告扫描件加盖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公章佐证）</w:t>
      </w:r>
    </w:p>
    <w:p w14:paraId="5657D610">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.移动式等离子体空气消毒机正常开机作用 60min，对30m³试验舱中的粪链球菌的杀灭率≥99.9%；（提供第三方检测机构出具的检测报告扫描件加盖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公章佐证）</w:t>
      </w:r>
    </w:p>
    <w:p w14:paraId="6973EEDD">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11.</w:t>
      </w:r>
      <w:r>
        <w:rPr>
          <w:rFonts w:hint="eastAsia" w:ascii="宋体" w:hAnsi="宋体" w:eastAsia="宋体" w:cs="宋体"/>
          <w:b/>
          <w:bCs/>
          <w:color w:val="auto"/>
          <w:sz w:val="24"/>
          <w:szCs w:val="24"/>
          <w:highlight w:val="none"/>
        </w:rPr>
        <w:t>移动式等离子体空气消毒机运行1h，空气中平均臭氧浓度</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0.</w:t>
      </w:r>
      <w:r>
        <w:rPr>
          <w:rFonts w:hint="eastAsia" w:ascii="宋体" w:hAnsi="宋体" w:eastAsia="宋体" w:cs="宋体"/>
          <w:b/>
          <w:bCs/>
          <w:color w:val="auto"/>
          <w:sz w:val="24"/>
          <w:szCs w:val="24"/>
          <w:highlight w:val="none"/>
          <w:lang w:val="en-US" w:eastAsia="zh-CN"/>
        </w:rPr>
        <w:t>000</w:t>
      </w:r>
      <w:r>
        <w:rPr>
          <w:rFonts w:hint="eastAsia" w:ascii="宋体" w:hAnsi="宋体" w:eastAsia="宋体" w:cs="宋体"/>
          <w:b/>
          <w:bCs/>
          <w:color w:val="auto"/>
          <w:sz w:val="24"/>
          <w:szCs w:val="24"/>
          <w:highlight w:val="none"/>
        </w:rPr>
        <w:t>1mg/m³；（提供具有CMA标识的第三方检测机构出具的检测报告扫描件加盖投标人公章佐证）</w:t>
      </w:r>
    </w:p>
    <w:p w14:paraId="0EFB2BA7">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移动式等离子体空气消毒机等离子体密度</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×10</w:t>
      </w:r>
      <w:r>
        <w:rPr>
          <w:rFonts w:hint="eastAsia" w:ascii="宋体" w:hAnsi="宋体" w:eastAsia="宋体" w:cs="宋体"/>
          <w:b/>
          <w:bCs/>
          <w:color w:val="auto"/>
          <w:sz w:val="24"/>
          <w:szCs w:val="24"/>
          <w:highlight w:val="none"/>
          <w:vertAlign w:val="superscript"/>
        </w:rPr>
        <w:t>19</w:t>
      </w:r>
      <w:r>
        <w:rPr>
          <w:rFonts w:hint="eastAsia" w:ascii="宋体" w:hAnsi="宋体" w:eastAsia="宋体" w:cs="宋体"/>
          <w:color w:val="auto"/>
          <w:kern w:val="0"/>
          <w:sz w:val="24"/>
          <w:szCs w:val="24"/>
          <w:highlight w:val="none"/>
        </w:rPr>
        <w:t>m</w:t>
      </w:r>
      <w:r>
        <w:rPr>
          <w:rFonts w:hint="eastAsia" w:ascii="宋体" w:hAnsi="宋体" w:eastAsia="宋体" w:cs="宋体"/>
          <w:color w:val="auto"/>
          <w:kern w:val="0"/>
          <w:sz w:val="24"/>
          <w:szCs w:val="24"/>
          <w:highlight w:val="none"/>
          <w:vertAlign w:val="superscript"/>
        </w:rPr>
        <w:t>-3</w:t>
      </w:r>
      <w:r>
        <w:rPr>
          <w:rFonts w:hint="eastAsia" w:ascii="宋体" w:hAnsi="宋体" w:eastAsia="宋体" w:cs="宋体"/>
          <w:b/>
          <w:bCs/>
          <w:color w:val="auto"/>
          <w:sz w:val="24"/>
          <w:szCs w:val="24"/>
          <w:highlight w:val="none"/>
        </w:rPr>
        <w:t>；（提供第三方机构检测报告扫描件加盖投标人公章佐证）；</w:t>
      </w:r>
    </w:p>
    <w:p w14:paraId="6E685CF2">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13.</w:t>
      </w:r>
      <w:r>
        <w:rPr>
          <w:rFonts w:hint="eastAsia" w:ascii="宋体" w:hAnsi="宋体" w:eastAsia="宋体" w:cs="宋体"/>
          <w:color w:val="auto"/>
          <w:sz w:val="24"/>
          <w:szCs w:val="24"/>
          <w:highlight w:val="none"/>
        </w:rPr>
        <w:t>移动式等离子体空气消毒机出现性能下降或故障有自动警报功能，并显示故障识别代码，警报识别代码数量≥</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个；</w:t>
      </w:r>
    </w:p>
    <w:p w14:paraId="5959AE9E">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14.</w:t>
      </w:r>
      <w:r>
        <w:rPr>
          <w:rFonts w:hint="eastAsia" w:ascii="宋体" w:hAnsi="宋体" w:eastAsia="宋体" w:cs="宋体"/>
          <w:b/>
          <w:bCs/>
          <w:color w:val="auto"/>
          <w:sz w:val="24"/>
          <w:szCs w:val="24"/>
          <w:highlight w:val="none"/>
        </w:rPr>
        <w:t>移动式等离子体空气消毒机具备空气粒子数传感器，实时检测环境空气粒子数并显示在主机屏幕上；（提供主机屏幕照片加盖投标人公章佐证）</w:t>
      </w:r>
    </w:p>
    <w:p w14:paraId="0764873A">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15.</w:t>
      </w:r>
      <w:r>
        <w:rPr>
          <w:rFonts w:hint="eastAsia" w:ascii="宋体" w:hAnsi="宋体" w:eastAsia="宋体" w:cs="宋体"/>
          <w:b w:val="0"/>
          <w:bCs w:val="0"/>
          <w:color w:val="auto"/>
          <w:sz w:val="24"/>
          <w:szCs w:val="24"/>
          <w:highlight w:val="none"/>
        </w:rPr>
        <w:t>移动式等离子体空气消毒机具备空气温湿度检测：实时检测空气温湿度并显示在主机屏幕上；（提供主机屏幕照片加盖投标人公章佐证）</w:t>
      </w:r>
    </w:p>
    <w:p w14:paraId="39E18890">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16.洁净罩的床头、床尾为高透光性板材，左右为软帘；软帘（如抗菌PVC、TPU、PP、PET）、板材（如亚克力、玻璃、PC、PP）均需具有抗菌性、易消毒性（每天均需消毒）、易操作性；(提供洁净罩实物照片加盖投标人公章佐证)</w:t>
      </w:r>
    </w:p>
    <w:p w14:paraId="23170A61">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17.</w:t>
      </w:r>
      <w:r>
        <w:rPr>
          <w:rFonts w:hint="eastAsia" w:ascii="宋体" w:hAnsi="宋体" w:eastAsia="宋体" w:cs="宋体"/>
          <w:b/>
          <w:bCs/>
          <w:color w:val="auto"/>
          <w:sz w:val="24"/>
          <w:szCs w:val="24"/>
          <w:highlight w:val="none"/>
        </w:rPr>
        <w:t>移动式等离子体空气消毒机和洁净罩采用软管分体式布局。（提供设备连接图片资料）</w:t>
      </w:r>
    </w:p>
    <w:p w14:paraId="0790CF2A">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18.</w:t>
      </w:r>
      <w:r>
        <w:rPr>
          <w:rFonts w:hint="eastAsia" w:ascii="宋体" w:hAnsi="宋体" w:eastAsia="宋体" w:cs="宋体"/>
          <w:color w:val="auto"/>
          <w:sz w:val="24"/>
          <w:szCs w:val="24"/>
          <w:highlight w:val="none"/>
        </w:rPr>
        <w:t>当移动式等离子体空气消毒机处于</w:t>
      </w:r>
      <w:r>
        <w:rPr>
          <w:rFonts w:hint="eastAsia" w:ascii="宋体" w:hAnsi="宋体" w:eastAsia="宋体" w:cs="宋体"/>
          <w:color w:val="auto"/>
          <w:sz w:val="24"/>
          <w:szCs w:val="24"/>
          <w:highlight w:val="none"/>
          <w:lang w:val="en-US" w:eastAsia="zh-CN"/>
        </w:rPr>
        <w:t>夜间</w:t>
      </w:r>
      <w:r>
        <w:rPr>
          <w:rFonts w:hint="eastAsia" w:ascii="宋体" w:hAnsi="宋体" w:eastAsia="宋体" w:cs="宋体"/>
          <w:color w:val="auto"/>
          <w:sz w:val="24"/>
          <w:szCs w:val="24"/>
          <w:highlight w:val="none"/>
        </w:rPr>
        <w:t>模式，噪声数值为≤5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分贝；</w:t>
      </w:r>
    </w:p>
    <w:p w14:paraId="5E9E273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19.</w:t>
      </w:r>
      <w:r>
        <w:rPr>
          <w:rFonts w:hint="eastAsia" w:ascii="宋体" w:hAnsi="宋体" w:eastAsia="宋体" w:cs="宋体"/>
          <w:color w:val="auto"/>
          <w:sz w:val="24"/>
          <w:szCs w:val="24"/>
          <w:highlight w:val="none"/>
        </w:rPr>
        <w:t>移动式等离子体空气消毒机具备无线远程监控系统：设备配备无线物联网卡，具有智能无线远程监控功能，核心部件运行情况和报警记录能够实时查看，并自动保存详细运行记录、报警、维护、维修记录，相关监测模块终生免费使用，并终生自动保存详细运行记录，同时上传云数据服务器。（提供技术参数确认函加盖投标人公章佐证。）</w:t>
      </w:r>
    </w:p>
    <w:p w14:paraId="28D44421">
      <w:pPr>
        <w:pStyle w:val="300"/>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移动式等离子体空气消毒机和</w:t>
      </w:r>
      <w:r>
        <w:rPr>
          <w:rFonts w:hint="eastAsia" w:ascii="宋体" w:hAnsi="宋体" w:eastAsia="宋体" w:cs="宋体"/>
          <w:b/>
          <w:bCs/>
          <w:color w:val="auto"/>
          <w:sz w:val="24"/>
          <w:szCs w:val="24"/>
          <w:highlight w:val="none"/>
          <w:lang w:val="en-US" w:eastAsia="zh-CN"/>
        </w:rPr>
        <w:t>洁净罩具备自主调控百级区域的温度，是与洁净罩外温度对比。（提供生产厂家设备说明书）</w:t>
      </w:r>
    </w:p>
    <w:p w14:paraId="6E36F86E">
      <w:pPr>
        <w:pStyle w:val="300"/>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p>
    <w:p w14:paraId="5BFEB74E">
      <w:pPr>
        <w:pStyle w:val="300"/>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p>
    <w:p w14:paraId="2866BC23">
      <w:pPr>
        <w:pStyle w:val="300"/>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p>
    <w:p w14:paraId="42151BD8">
      <w:pPr>
        <w:pStyle w:val="300"/>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p>
    <w:p w14:paraId="07F65190">
      <w:pPr>
        <w:pStyle w:val="300"/>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p>
    <w:p w14:paraId="41A83FF0">
      <w:pPr>
        <w:pStyle w:val="300"/>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lang w:val="en-US" w:eastAsia="zh-CN"/>
        </w:rPr>
      </w:pPr>
    </w:p>
    <w:p w14:paraId="56F55F63">
      <w:pPr>
        <w:pStyle w:val="300"/>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医疗设备清单表：</w:t>
      </w:r>
    </w:p>
    <w:tbl>
      <w:tblPr>
        <w:tblStyle w:val="5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15"/>
        <w:gridCol w:w="4275"/>
        <w:gridCol w:w="1305"/>
        <w:gridCol w:w="1080"/>
      </w:tblGrid>
      <w:tr w14:paraId="5D8D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81" w:type="dxa"/>
            <w:noWrap w:val="0"/>
            <w:vAlign w:val="center"/>
          </w:tcPr>
          <w:p w14:paraId="4B01101F">
            <w:pPr>
              <w:keepNext/>
              <w:snapToGrid w:val="0"/>
              <w:ind w:left="0" w:leftChars="0" w:right="0" w:rightChars="0" w:firstLine="0" w:firstLineChars="0"/>
              <w:jc w:val="center"/>
              <w:rPr>
                <w:rFonts w:hint="default"/>
                <w:b/>
                <w:color w:val="auto"/>
                <w:highlight w:val="none"/>
                <w:vertAlign w:val="baseline"/>
                <w:lang w:val="en-US" w:eastAsia="zh-CN"/>
              </w:rPr>
            </w:pPr>
            <w:r>
              <w:rPr>
                <w:rFonts w:hint="eastAsia"/>
                <w:b/>
                <w:color w:val="auto"/>
                <w:highlight w:val="none"/>
                <w:vertAlign w:val="baseline"/>
                <w:lang w:val="en-US" w:eastAsia="zh-CN"/>
              </w:rPr>
              <w:t>序号</w:t>
            </w:r>
          </w:p>
        </w:tc>
        <w:tc>
          <w:tcPr>
            <w:tcW w:w="2115" w:type="dxa"/>
            <w:noWrap w:val="0"/>
            <w:vAlign w:val="center"/>
          </w:tcPr>
          <w:p w14:paraId="1F2E1647">
            <w:pPr>
              <w:keepNext/>
              <w:snapToGrid w:val="0"/>
              <w:ind w:left="0" w:leftChars="0" w:right="0" w:rightChars="0" w:firstLine="0" w:firstLineChars="0"/>
              <w:jc w:val="center"/>
              <w:rPr>
                <w:rFonts w:hint="default" w:eastAsia="宋体"/>
                <w:b/>
                <w:color w:val="auto"/>
                <w:highlight w:val="none"/>
                <w:vertAlign w:val="baseline"/>
                <w:lang w:val="en-US" w:eastAsia="zh-CN"/>
              </w:rPr>
            </w:pPr>
            <w:r>
              <w:rPr>
                <w:rFonts w:hint="eastAsia"/>
                <w:b/>
                <w:color w:val="auto"/>
                <w:highlight w:val="none"/>
                <w:vertAlign w:val="baseline"/>
                <w:lang w:val="en-US" w:eastAsia="zh-CN"/>
              </w:rPr>
              <w:t>设备名称</w:t>
            </w:r>
          </w:p>
        </w:tc>
        <w:tc>
          <w:tcPr>
            <w:tcW w:w="4275" w:type="dxa"/>
            <w:noWrap w:val="0"/>
            <w:vAlign w:val="center"/>
          </w:tcPr>
          <w:p w14:paraId="20229DA3">
            <w:pPr>
              <w:keepNext/>
              <w:snapToGrid w:val="0"/>
              <w:ind w:left="0" w:leftChars="0" w:right="0" w:rightChars="0" w:firstLine="0" w:firstLineChars="0"/>
              <w:jc w:val="center"/>
              <w:rPr>
                <w:rFonts w:hint="default"/>
                <w:b/>
                <w:color w:val="auto"/>
                <w:highlight w:val="none"/>
                <w:vertAlign w:val="baseline"/>
                <w:lang w:val="en-US" w:eastAsia="zh-CN"/>
              </w:rPr>
            </w:pPr>
            <w:r>
              <w:rPr>
                <w:rFonts w:hint="eastAsia"/>
                <w:b/>
                <w:color w:val="auto"/>
                <w:highlight w:val="none"/>
                <w:vertAlign w:val="baseline"/>
                <w:lang w:val="en-US" w:eastAsia="zh-CN"/>
              </w:rPr>
              <w:t>项目描述</w:t>
            </w:r>
          </w:p>
        </w:tc>
        <w:tc>
          <w:tcPr>
            <w:tcW w:w="1305" w:type="dxa"/>
            <w:noWrap w:val="0"/>
            <w:vAlign w:val="center"/>
          </w:tcPr>
          <w:p w14:paraId="03E0F189">
            <w:pPr>
              <w:keepNext/>
              <w:snapToGrid w:val="0"/>
              <w:ind w:left="0" w:leftChars="0" w:right="0" w:rightChars="0" w:firstLine="0" w:firstLineChars="0"/>
              <w:jc w:val="center"/>
              <w:rPr>
                <w:rFonts w:hint="eastAsia"/>
                <w:b/>
                <w:color w:val="auto"/>
                <w:highlight w:val="none"/>
                <w:vertAlign w:val="baseline"/>
                <w:lang w:val="en-US" w:eastAsia="zh-CN"/>
              </w:rPr>
            </w:pPr>
            <w:r>
              <w:rPr>
                <w:rFonts w:hint="eastAsia"/>
                <w:b/>
                <w:color w:val="auto"/>
                <w:highlight w:val="none"/>
                <w:vertAlign w:val="baseline"/>
                <w:lang w:val="en-US" w:eastAsia="zh-CN"/>
              </w:rPr>
              <w:t>单位</w:t>
            </w:r>
          </w:p>
        </w:tc>
        <w:tc>
          <w:tcPr>
            <w:tcW w:w="1080" w:type="dxa"/>
            <w:noWrap w:val="0"/>
            <w:vAlign w:val="center"/>
          </w:tcPr>
          <w:p w14:paraId="2E36AB70">
            <w:pPr>
              <w:keepNext/>
              <w:snapToGrid w:val="0"/>
              <w:ind w:left="0" w:leftChars="0" w:right="0" w:rightChars="0" w:firstLine="0" w:firstLineChars="0"/>
              <w:jc w:val="center"/>
              <w:rPr>
                <w:rFonts w:hint="default"/>
                <w:b/>
                <w:color w:val="auto"/>
                <w:highlight w:val="none"/>
                <w:vertAlign w:val="baseline"/>
                <w:lang w:val="en-US" w:eastAsia="zh-CN"/>
              </w:rPr>
            </w:pPr>
            <w:r>
              <w:rPr>
                <w:rFonts w:hint="eastAsia"/>
                <w:b/>
                <w:color w:val="auto"/>
                <w:highlight w:val="none"/>
                <w:vertAlign w:val="baseline"/>
                <w:lang w:val="en-US" w:eastAsia="zh-CN"/>
              </w:rPr>
              <w:t>数量</w:t>
            </w:r>
          </w:p>
        </w:tc>
      </w:tr>
      <w:tr w14:paraId="305E0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1" w:type="dxa"/>
            <w:noWrap w:val="0"/>
            <w:vAlign w:val="center"/>
          </w:tcPr>
          <w:p w14:paraId="288F4E9D">
            <w:pPr>
              <w:keepNext/>
              <w:numPr>
                <w:ilvl w:val="0"/>
                <w:numId w:val="0"/>
              </w:numPr>
              <w:snapToGrid w:val="0"/>
              <w:ind w:left="0" w:leftChars="0" w:right="0" w:rightChars="0" w:firstLine="0" w:firstLineChars="0"/>
              <w:jc w:val="center"/>
              <w:rPr>
                <w:rFonts w:hint="default"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1</w:t>
            </w:r>
          </w:p>
        </w:tc>
        <w:tc>
          <w:tcPr>
            <w:tcW w:w="2115" w:type="dxa"/>
            <w:noWrap w:val="0"/>
            <w:vAlign w:val="center"/>
          </w:tcPr>
          <w:p w14:paraId="5CCD894B">
            <w:pPr>
              <w:keepNext/>
              <w:snapToGrid w:val="0"/>
              <w:ind w:left="0" w:leftChars="0" w:right="0" w:rightChars="0" w:firstLine="0" w:firstLineChars="0"/>
              <w:jc w:val="left"/>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移动式移植舱</w:t>
            </w:r>
          </w:p>
        </w:tc>
        <w:tc>
          <w:tcPr>
            <w:tcW w:w="4275" w:type="dxa"/>
            <w:shd w:val="clear" w:color="auto" w:fill="auto"/>
            <w:noWrap w:val="0"/>
            <w:vAlign w:val="center"/>
          </w:tcPr>
          <w:p w14:paraId="2318B7E6">
            <w:pPr>
              <w:keepNext/>
              <w:snapToGrid w:val="0"/>
              <w:ind w:left="0" w:leftChars="0" w:right="0" w:rightChars="0" w:firstLine="0"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循环风量：2000m</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vertAlign w:val="baseline"/>
                <w:lang w:val="en-US" w:eastAsia="zh-CN"/>
              </w:rPr>
              <w:t>/</w:t>
            </w:r>
            <w:r>
              <w:rPr>
                <w:rFonts w:hint="eastAsia" w:ascii="宋体" w:hAnsi="宋体" w:eastAsia="宋体" w:cs="宋体"/>
                <w:sz w:val="24"/>
                <w:szCs w:val="24"/>
                <w:lang w:val="en-US" w:eastAsia="zh-CN"/>
              </w:rPr>
              <w:t>h</w:t>
            </w:r>
          </w:p>
          <w:p w14:paraId="05DEFF77">
            <w:pPr>
              <w:keepNext/>
              <w:snapToGrid w:val="0"/>
              <w:ind w:left="0" w:leftChars="0" w:right="0" w:rightChars="0" w:firstLine="0"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百级洁净区域面积：大于等于4.3平方米。</w:t>
            </w:r>
          </w:p>
          <w:p w14:paraId="253CC5C7">
            <w:pPr>
              <w:keepNext/>
              <w:snapToGrid w:val="0"/>
              <w:ind w:left="0" w:leftChars="0" w:right="0" w:rightChars="0" w:firstLine="0" w:firstLine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灭菌因子：等离子体</w:t>
            </w:r>
          </w:p>
        </w:tc>
        <w:tc>
          <w:tcPr>
            <w:tcW w:w="1305" w:type="dxa"/>
            <w:noWrap w:val="0"/>
            <w:vAlign w:val="center"/>
          </w:tcPr>
          <w:p w14:paraId="4D653B88">
            <w:pPr>
              <w:keepNext/>
              <w:snapToGrid w:val="0"/>
              <w:ind w:left="0" w:leftChars="0" w:right="0" w:rightChars="0" w:firstLine="0" w:firstLineChars="0"/>
              <w:jc w:val="center"/>
              <w:rPr>
                <w:rFonts w:hint="eastAsia" w:ascii="宋体" w:eastAsia="宋体"/>
                <w:color w:val="auto"/>
                <w:sz w:val="24"/>
                <w:highlight w:val="none"/>
                <w:vertAlign w:val="baseline"/>
                <w:lang w:val="en-US" w:eastAsia="zh-CN"/>
              </w:rPr>
            </w:pPr>
            <w:r>
              <w:rPr>
                <w:rFonts w:hint="eastAsia" w:ascii="宋体" w:eastAsia="宋体"/>
                <w:color w:val="auto"/>
                <w:sz w:val="24"/>
                <w:highlight w:val="none"/>
                <w:vertAlign w:val="baseline"/>
                <w:lang w:val="en-US" w:eastAsia="zh-CN"/>
              </w:rPr>
              <w:t>台</w:t>
            </w:r>
          </w:p>
        </w:tc>
        <w:tc>
          <w:tcPr>
            <w:tcW w:w="1080" w:type="dxa"/>
            <w:noWrap w:val="0"/>
            <w:vAlign w:val="center"/>
          </w:tcPr>
          <w:p w14:paraId="7B39ECBC">
            <w:pPr>
              <w:keepNext/>
              <w:snapToGrid w:val="0"/>
              <w:ind w:left="0" w:leftChars="0" w:right="0" w:rightChars="0" w:firstLine="0" w:firstLineChars="0"/>
              <w:jc w:val="center"/>
              <w:rPr>
                <w:rFonts w:hint="default" w:ascii="宋体" w:eastAsia="宋体"/>
                <w:color w:val="auto"/>
                <w:sz w:val="24"/>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1</w:t>
            </w:r>
          </w:p>
        </w:tc>
      </w:tr>
      <w:tr w14:paraId="7DBE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1" w:type="dxa"/>
            <w:noWrap w:val="0"/>
            <w:vAlign w:val="center"/>
          </w:tcPr>
          <w:p w14:paraId="51AC85CE">
            <w:pPr>
              <w:keepNext/>
              <w:numPr>
                <w:ilvl w:val="0"/>
                <w:numId w:val="0"/>
              </w:numPr>
              <w:snapToGrid w:val="0"/>
              <w:ind w:left="0" w:leftChars="0" w:right="0" w:rightChars="0" w:firstLine="0" w:firstLineChars="0"/>
              <w:jc w:val="center"/>
              <w:rPr>
                <w:rFonts w:hint="default"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2</w:t>
            </w:r>
          </w:p>
        </w:tc>
        <w:tc>
          <w:tcPr>
            <w:tcW w:w="2115" w:type="dxa"/>
            <w:noWrap w:val="0"/>
            <w:vAlign w:val="center"/>
          </w:tcPr>
          <w:p w14:paraId="115F5DB5">
            <w:pPr>
              <w:keepNext/>
              <w:snapToGrid w:val="0"/>
              <w:ind w:left="0" w:leftChars="0" w:right="0" w:rightChars="0" w:firstLine="0" w:firstLineChars="0"/>
              <w:jc w:val="left"/>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空气灭菌站</w:t>
            </w:r>
          </w:p>
        </w:tc>
        <w:tc>
          <w:tcPr>
            <w:tcW w:w="4275" w:type="dxa"/>
            <w:shd w:val="clear" w:color="auto" w:fill="auto"/>
            <w:noWrap w:val="0"/>
            <w:vAlign w:val="center"/>
          </w:tcPr>
          <w:p w14:paraId="016B108A">
            <w:pPr>
              <w:keepNext/>
              <w:snapToGrid w:val="0"/>
              <w:ind w:left="0" w:leftChars="0" w:right="0" w:rightChars="0" w:firstLine="0"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循环风量：1500m</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vertAlign w:val="baseline"/>
                <w:lang w:val="en-US" w:eastAsia="zh-CN"/>
              </w:rPr>
              <w:t>/</w:t>
            </w:r>
            <w:r>
              <w:rPr>
                <w:rFonts w:hint="eastAsia" w:ascii="宋体" w:hAnsi="宋体" w:eastAsia="宋体" w:cs="宋体"/>
                <w:sz w:val="24"/>
                <w:szCs w:val="24"/>
                <w:lang w:val="en-US" w:eastAsia="zh-CN"/>
              </w:rPr>
              <w:t>h</w:t>
            </w:r>
          </w:p>
          <w:p w14:paraId="1C6270E7">
            <w:pPr>
              <w:keepNext/>
              <w:snapToGrid w:val="0"/>
              <w:ind w:left="0" w:leftChars="0" w:right="0" w:rightChars="0" w:firstLine="0" w:firstLine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灭菌因子：等离子体</w:t>
            </w:r>
          </w:p>
        </w:tc>
        <w:tc>
          <w:tcPr>
            <w:tcW w:w="1305" w:type="dxa"/>
            <w:noWrap w:val="0"/>
            <w:vAlign w:val="center"/>
          </w:tcPr>
          <w:p w14:paraId="3142B055">
            <w:pPr>
              <w:keepNext/>
              <w:snapToGrid w:val="0"/>
              <w:ind w:left="0" w:leftChars="0" w:right="0" w:rightChars="0" w:firstLine="0" w:firstLineChars="0"/>
              <w:jc w:val="center"/>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台</w:t>
            </w:r>
          </w:p>
        </w:tc>
        <w:tc>
          <w:tcPr>
            <w:tcW w:w="1080" w:type="dxa"/>
            <w:noWrap w:val="0"/>
            <w:vAlign w:val="center"/>
          </w:tcPr>
          <w:p w14:paraId="77E6D395">
            <w:pPr>
              <w:keepNext/>
              <w:snapToGrid w:val="0"/>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vertAlign w:val="baseline"/>
                <w:lang w:val="en-US" w:eastAsia="zh-CN"/>
              </w:rPr>
              <w:t>1</w:t>
            </w:r>
          </w:p>
        </w:tc>
      </w:tr>
      <w:tr w14:paraId="7880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1" w:type="dxa"/>
            <w:noWrap w:val="0"/>
            <w:vAlign w:val="center"/>
          </w:tcPr>
          <w:p w14:paraId="3AE29A0D">
            <w:pPr>
              <w:keepNext/>
              <w:numPr>
                <w:ilvl w:val="0"/>
                <w:numId w:val="0"/>
              </w:numPr>
              <w:snapToGrid w:val="0"/>
              <w:ind w:left="0" w:leftChars="0" w:right="0" w:rightChars="0" w:firstLine="0" w:firstLineChars="0"/>
              <w:jc w:val="center"/>
              <w:rPr>
                <w:rFonts w:hint="default"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3</w:t>
            </w:r>
          </w:p>
        </w:tc>
        <w:tc>
          <w:tcPr>
            <w:tcW w:w="2115" w:type="dxa"/>
            <w:noWrap w:val="0"/>
            <w:vAlign w:val="center"/>
          </w:tcPr>
          <w:p w14:paraId="338404B0">
            <w:pPr>
              <w:keepNext/>
              <w:snapToGrid w:val="0"/>
              <w:ind w:left="0" w:leftChars="0" w:right="0" w:rightChars="0" w:firstLine="0" w:firstLineChars="0"/>
              <w:jc w:val="left"/>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移动式</w:t>
            </w:r>
            <w:r>
              <w:rPr>
                <w:rFonts w:hint="eastAsia" w:ascii="宋体" w:hAnsi="宋体" w:eastAsia="宋体" w:cs="宋体"/>
                <w:color w:val="auto"/>
                <w:sz w:val="24"/>
                <w:szCs w:val="32"/>
                <w:highlight w:val="none"/>
                <w:vertAlign w:val="baseline"/>
              </w:rPr>
              <w:t>等离子体空气消毒机</w:t>
            </w:r>
          </w:p>
        </w:tc>
        <w:tc>
          <w:tcPr>
            <w:tcW w:w="4275" w:type="dxa"/>
            <w:shd w:val="clear" w:color="auto" w:fill="auto"/>
            <w:noWrap w:val="0"/>
            <w:vAlign w:val="center"/>
          </w:tcPr>
          <w:p w14:paraId="00D53E51">
            <w:pPr>
              <w:keepNext/>
              <w:snapToGrid w:val="0"/>
              <w:ind w:left="0" w:leftChars="0" w:right="0" w:rightChars="0" w:firstLine="0"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循环风量：1200m</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vertAlign w:val="baseline"/>
                <w:lang w:val="en-US" w:eastAsia="zh-CN"/>
              </w:rPr>
              <w:t>/</w:t>
            </w:r>
            <w:r>
              <w:rPr>
                <w:rFonts w:hint="eastAsia" w:ascii="宋体" w:hAnsi="宋体" w:eastAsia="宋体" w:cs="宋体"/>
                <w:sz w:val="24"/>
                <w:szCs w:val="24"/>
                <w:lang w:val="en-US" w:eastAsia="zh-CN"/>
              </w:rPr>
              <w:t>h</w:t>
            </w:r>
          </w:p>
          <w:p w14:paraId="4B7B9251">
            <w:pPr>
              <w:keepNext/>
              <w:snapToGrid w:val="0"/>
              <w:ind w:left="0" w:leftChars="0" w:right="0" w:rightChars="0" w:firstLine="0" w:firstLine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灭菌因子：等离子体</w:t>
            </w:r>
          </w:p>
        </w:tc>
        <w:tc>
          <w:tcPr>
            <w:tcW w:w="1305" w:type="dxa"/>
            <w:noWrap w:val="0"/>
            <w:vAlign w:val="center"/>
          </w:tcPr>
          <w:p w14:paraId="5044B090">
            <w:pPr>
              <w:keepNext/>
              <w:snapToGrid w:val="0"/>
              <w:ind w:left="0" w:leftChars="0" w:right="0" w:rightChars="0" w:firstLine="0" w:firstLineChars="0"/>
              <w:jc w:val="center"/>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台</w:t>
            </w:r>
          </w:p>
        </w:tc>
        <w:tc>
          <w:tcPr>
            <w:tcW w:w="1080" w:type="dxa"/>
            <w:noWrap w:val="0"/>
            <w:vAlign w:val="center"/>
          </w:tcPr>
          <w:p w14:paraId="6A44997D">
            <w:pPr>
              <w:keepNext/>
              <w:snapToGrid w:val="0"/>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vertAlign w:val="baseline"/>
                <w:lang w:val="en-US" w:eastAsia="zh-CN"/>
              </w:rPr>
              <w:t>2</w:t>
            </w:r>
          </w:p>
        </w:tc>
      </w:tr>
    </w:tbl>
    <w:p w14:paraId="3A39D133">
      <w:pPr>
        <w:rPr>
          <w:rFonts w:ascii="宋体" w:hAnsi="宋体" w:eastAsia="宋体" w:cs="宋体"/>
          <w:sz w:val="24"/>
          <w:szCs w:val="24"/>
        </w:rPr>
      </w:pPr>
      <w:r>
        <w:rPr>
          <w:rFonts w:ascii="宋体" w:hAnsi="宋体" w:eastAsia="宋体" w:cs="宋体"/>
          <w:b/>
          <w:bCs/>
          <w:spacing w:val="-3"/>
          <w:sz w:val="24"/>
          <w:szCs w:val="24"/>
        </w:rPr>
        <w:t>装饰装修材料清单表：</w:t>
      </w:r>
    </w:p>
    <w:p w14:paraId="77E461D3">
      <w:pPr>
        <w:spacing w:line="149" w:lineRule="exact"/>
      </w:pPr>
    </w:p>
    <w:tbl>
      <w:tblPr>
        <w:tblStyle w:val="297"/>
        <w:tblW w:w="95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3"/>
        <w:gridCol w:w="2054"/>
        <w:gridCol w:w="4545"/>
        <w:gridCol w:w="995"/>
        <w:gridCol w:w="1110"/>
      </w:tblGrid>
      <w:tr w14:paraId="6B274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jc w:val="center"/>
        </w:trPr>
        <w:tc>
          <w:tcPr>
            <w:tcW w:w="823" w:type="dxa"/>
            <w:noWrap w:val="0"/>
            <w:vAlign w:val="center"/>
          </w:tcPr>
          <w:p w14:paraId="3B0BBD2B">
            <w:pPr>
              <w:keepNext/>
              <w:snapToGrid w:val="0"/>
              <w:ind w:left="0" w:leftChars="0" w:right="0" w:rightChars="0" w:firstLine="0" w:firstLineChars="0"/>
              <w:jc w:val="center"/>
              <w:rPr>
                <w:rFonts w:hint="default"/>
                <w:b/>
                <w:color w:val="auto"/>
                <w:highlight w:val="none"/>
                <w:vertAlign w:val="baseline"/>
                <w:lang w:val="en-US" w:eastAsia="zh-CN"/>
              </w:rPr>
            </w:pPr>
            <w:r>
              <w:rPr>
                <w:rFonts w:hint="default"/>
                <w:b/>
                <w:color w:val="auto"/>
                <w:highlight w:val="none"/>
                <w:vertAlign w:val="baseline"/>
                <w:lang w:val="en-US" w:eastAsia="zh-CN"/>
              </w:rPr>
              <w:t>序号</w:t>
            </w:r>
          </w:p>
        </w:tc>
        <w:tc>
          <w:tcPr>
            <w:tcW w:w="2054" w:type="dxa"/>
            <w:noWrap w:val="0"/>
            <w:vAlign w:val="center"/>
          </w:tcPr>
          <w:p w14:paraId="28DE5613">
            <w:pPr>
              <w:keepNext/>
              <w:snapToGrid w:val="0"/>
              <w:ind w:left="0" w:leftChars="0" w:right="0" w:rightChars="0" w:firstLine="0" w:firstLineChars="0"/>
              <w:jc w:val="center"/>
              <w:rPr>
                <w:rFonts w:hint="default"/>
                <w:b/>
                <w:color w:val="auto"/>
                <w:highlight w:val="none"/>
                <w:vertAlign w:val="baseline"/>
                <w:lang w:val="en-US" w:eastAsia="zh-CN"/>
              </w:rPr>
            </w:pPr>
            <w:r>
              <w:rPr>
                <w:rFonts w:hint="default"/>
                <w:b/>
                <w:color w:val="auto"/>
                <w:highlight w:val="none"/>
                <w:vertAlign w:val="baseline"/>
                <w:lang w:val="en-US" w:eastAsia="zh-CN"/>
              </w:rPr>
              <w:t>名称</w:t>
            </w:r>
          </w:p>
        </w:tc>
        <w:tc>
          <w:tcPr>
            <w:tcW w:w="4545" w:type="dxa"/>
            <w:noWrap w:val="0"/>
            <w:vAlign w:val="center"/>
          </w:tcPr>
          <w:p w14:paraId="643F83DB">
            <w:pPr>
              <w:keepNext/>
              <w:snapToGrid w:val="0"/>
              <w:ind w:left="0" w:leftChars="0" w:right="0" w:rightChars="0" w:firstLine="0" w:firstLineChars="0"/>
              <w:jc w:val="center"/>
              <w:rPr>
                <w:rFonts w:hint="default"/>
                <w:b/>
                <w:color w:val="auto"/>
                <w:highlight w:val="none"/>
                <w:vertAlign w:val="baseline"/>
                <w:lang w:val="en-US" w:eastAsia="zh-CN"/>
              </w:rPr>
            </w:pPr>
            <w:r>
              <w:rPr>
                <w:rFonts w:hint="default"/>
                <w:b/>
                <w:color w:val="auto"/>
                <w:highlight w:val="none"/>
                <w:vertAlign w:val="baseline"/>
                <w:lang w:val="en-US" w:eastAsia="zh-CN"/>
              </w:rPr>
              <w:t>物品描述</w:t>
            </w:r>
          </w:p>
        </w:tc>
        <w:tc>
          <w:tcPr>
            <w:tcW w:w="995" w:type="dxa"/>
            <w:noWrap w:val="0"/>
            <w:vAlign w:val="center"/>
          </w:tcPr>
          <w:p w14:paraId="61070DB7">
            <w:pPr>
              <w:keepNext/>
              <w:snapToGrid w:val="0"/>
              <w:ind w:left="0" w:leftChars="0" w:right="0" w:rightChars="0" w:firstLine="0" w:firstLineChars="0"/>
              <w:jc w:val="center"/>
              <w:rPr>
                <w:rFonts w:hint="default"/>
                <w:b/>
                <w:color w:val="auto"/>
                <w:highlight w:val="none"/>
                <w:vertAlign w:val="baseline"/>
                <w:lang w:val="en-US" w:eastAsia="zh-CN"/>
              </w:rPr>
            </w:pPr>
            <w:r>
              <w:rPr>
                <w:rFonts w:hint="default"/>
                <w:b/>
                <w:color w:val="auto"/>
                <w:highlight w:val="none"/>
                <w:vertAlign w:val="baseline"/>
                <w:lang w:val="en-US" w:eastAsia="zh-CN"/>
              </w:rPr>
              <w:t>单位</w:t>
            </w:r>
          </w:p>
        </w:tc>
        <w:tc>
          <w:tcPr>
            <w:tcW w:w="1110" w:type="dxa"/>
            <w:noWrap w:val="0"/>
            <w:vAlign w:val="center"/>
          </w:tcPr>
          <w:p w14:paraId="19C992EE">
            <w:pPr>
              <w:keepNext/>
              <w:snapToGrid w:val="0"/>
              <w:ind w:left="0" w:leftChars="0" w:right="0" w:rightChars="0" w:firstLine="0" w:firstLineChars="0"/>
              <w:jc w:val="center"/>
              <w:rPr>
                <w:rFonts w:hint="default"/>
                <w:b/>
                <w:color w:val="auto"/>
                <w:highlight w:val="none"/>
                <w:vertAlign w:val="baseline"/>
                <w:lang w:val="en-US" w:eastAsia="zh-CN"/>
              </w:rPr>
            </w:pPr>
            <w:r>
              <w:rPr>
                <w:rFonts w:hint="default"/>
                <w:b/>
                <w:color w:val="auto"/>
                <w:highlight w:val="none"/>
                <w:vertAlign w:val="baseline"/>
                <w:lang w:val="en-US" w:eastAsia="zh-CN"/>
              </w:rPr>
              <w:t>数量</w:t>
            </w:r>
          </w:p>
        </w:tc>
      </w:tr>
      <w:tr w14:paraId="458FC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823" w:type="dxa"/>
            <w:noWrap w:val="0"/>
            <w:vAlign w:val="center"/>
          </w:tcPr>
          <w:p w14:paraId="4C36B07E">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2054" w:type="dxa"/>
            <w:noWrap w:val="0"/>
            <w:vAlign w:val="center"/>
          </w:tcPr>
          <w:p w14:paraId="6F14D4EE">
            <w:pPr>
              <w:keepNext w:val="0"/>
              <w:keepLines w:val="0"/>
              <w:suppressLineNumbers w:val="0"/>
              <w:spacing w:before="0" w:beforeAutospacing="0" w:after="0" w:afterAutospacing="0"/>
              <w:ind w:left="0" w:leftChars="0" w:right="0" w:rightChars="0"/>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窗户密封</w:t>
            </w:r>
          </w:p>
        </w:tc>
        <w:tc>
          <w:tcPr>
            <w:tcW w:w="4545" w:type="dxa"/>
            <w:noWrap w:val="0"/>
            <w:vAlign w:val="center"/>
          </w:tcPr>
          <w:p w14:paraId="23BD355C">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双面亚克力板整体密封</w:t>
            </w:r>
          </w:p>
          <w:p w14:paraId="5B23AB11">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r>
              <w:rPr>
                <w:rFonts w:hint="eastAsia" w:ascii="宋体" w:hAnsi="宋体" w:cs="宋体"/>
                <w:sz w:val="22"/>
                <w:szCs w:val="22"/>
                <w:lang w:val="en-US" w:eastAsia="zh-CN"/>
              </w:rPr>
              <w:t>厚度：5mm</w:t>
            </w:r>
          </w:p>
        </w:tc>
        <w:tc>
          <w:tcPr>
            <w:tcW w:w="995" w:type="dxa"/>
            <w:noWrap w:val="0"/>
            <w:vAlign w:val="center"/>
          </w:tcPr>
          <w:p w14:paraId="4D7E364A">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t>m2</w:t>
            </w:r>
          </w:p>
        </w:tc>
        <w:tc>
          <w:tcPr>
            <w:tcW w:w="1110" w:type="dxa"/>
            <w:noWrap w:val="0"/>
            <w:vAlign w:val="center"/>
          </w:tcPr>
          <w:p w14:paraId="404470AB">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4</w:t>
            </w:r>
            <w:r>
              <w:rPr>
                <w:rFonts w:hint="eastAsia" w:ascii="宋体" w:hAnsi="宋体" w:eastAsia="宋体" w:cs="宋体"/>
                <w:sz w:val="22"/>
                <w:szCs w:val="22"/>
                <w:lang w:val="en-US" w:eastAsia="zh-CN"/>
              </w:rPr>
              <w:t>.6</w:t>
            </w:r>
          </w:p>
        </w:tc>
      </w:tr>
      <w:tr w14:paraId="1DED8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823" w:type="dxa"/>
            <w:noWrap w:val="0"/>
            <w:vAlign w:val="center"/>
          </w:tcPr>
          <w:p w14:paraId="1B68B548">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2054" w:type="dxa"/>
            <w:noWrap w:val="0"/>
            <w:vAlign w:val="center"/>
          </w:tcPr>
          <w:p w14:paraId="1D3A4CAD">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天棚修补</w:t>
            </w:r>
          </w:p>
        </w:tc>
        <w:tc>
          <w:tcPr>
            <w:tcW w:w="4545" w:type="dxa"/>
            <w:noWrap w:val="0"/>
            <w:vAlign w:val="center"/>
          </w:tcPr>
          <w:p w14:paraId="50A3432E">
            <w:pPr>
              <w:keepNext w:val="0"/>
              <w:keepLines w:val="0"/>
              <w:suppressLineNumbers w:val="0"/>
              <w:spacing w:before="0" w:beforeAutospacing="0" w:after="0" w:afterAutospacing="0"/>
              <w:ind w:left="0" w:right="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吊顶面层原样恢复</w:t>
            </w:r>
          </w:p>
          <w:p w14:paraId="14A2B381">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r>
              <w:rPr>
                <w:rFonts w:hint="eastAsia" w:ascii="宋体" w:hAnsi="宋体" w:cs="宋体"/>
                <w:sz w:val="22"/>
                <w:szCs w:val="22"/>
                <w:lang w:val="en-US" w:eastAsia="zh-CN"/>
              </w:rPr>
              <w:t>铝扣板尺寸：600*600mm</w:t>
            </w:r>
          </w:p>
        </w:tc>
        <w:tc>
          <w:tcPr>
            <w:tcW w:w="995" w:type="dxa"/>
            <w:noWrap w:val="0"/>
            <w:vAlign w:val="center"/>
          </w:tcPr>
          <w:p w14:paraId="00E866DF">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t>m2</w:t>
            </w:r>
          </w:p>
        </w:tc>
        <w:tc>
          <w:tcPr>
            <w:tcW w:w="1110" w:type="dxa"/>
            <w:noWrap w:val="0"/>
            <w:vAlign w:val="center"/>
          </w:tcPr>
          <w:p w14:paraId="29CCD456">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cs="宋体"/>
                <w:sz w:val="22"/>
                <w:szCs w:val="22"/>
                <w:lang w:val="en-US" w:eastAsia="zh-CN"/>
              </w:rPr>
              <w:t>2</w:t>
            </w:r>
          </w:p>
        </w:tc>
      </w:tr>
      <w:tr w14:paraId="68F1A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jc w:val="center"/>
        </w:trPr>
        <w:tc>
          <w:tcPr>
            <w:tcW w:w="823" w:type="dxa"/>
            <w:noWrap w:val="0"/>
            <w:vAlign w:val="center"/>
          </w:tcPr>
          <w:p w14:paraId="7728F8AD">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2054" w:type="dxa"/>
            <w:noWrap w:val="0"/>
            <w:vAlign w:val="center"/>
          </w:tcPr>
          <w:p w14:paraId="1631B38C">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金属门窗套</w:t>
            </w:r>
          </w:p>
        </w:tc>
        <w:tc>
          <w:tcPr>
            <w:tcW w:w="4545" w:type="dxa"/>
            <w:noWrap w:val="0"/>
            <w:vAlign w:val="center"/>
          </w:tcPr>
          <w:p w14:paraId="47781082">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r>
              <w:rPr>
                <w:rFonts w:hint="eastAsia" w:ascii="宋体" w:hAnsi="宋体" w:eastAsia="宋体" w:cs="宋体"/>
                <w:sz w:val="22"/>
                <w:szCs w:val="22"/>
                <w:lang w:val="en-US" w:eastAsia="zh-CN"/>
              </w:rPr>
              <w:t>150mm宽304不锈钢（1.0厚拉丝不锈钢）包边</w:t>
            </w:r>
          </w:p>
        </w:tc>
        <w:tc>
          <w:tcPr>
            <w:tcW w:w="995" w:type="dxa"/>
            <w:noWrap w:val="0"/>
            <w:vAlign w:val="center"/>
          </w:tcPr>
          <w:p w14:paraId="370D3599">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t>m2</w:t>
            </w:r>
          </w:p>
        </w:tc>
        <w:tc>
          <w:tcPr>
            <w:tcW w:w="1110" w:type="dxa"/>
            <w:noWrap w:val="0"/>
            <w:vAlign w:val="center"/>
          </w:tcPr>
          <w:p w14:paraId="6A97D1A5">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lang w:val="en-US" w:eastAsia="zh-CN"/>
              </w:rPr>
              <w:t>.05</w:t>
            </w:r>
          </w:p>
        </w:tc>
      </w:tr>
      <w:tr w14:paraId="2CFAD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jc w:val="center"/>
        </w:trPr>
        <w:tc>
          <w:tcPr>
            <w:tcW w:w="823" w:type="dxa"/>
            <w:noWrap w:val="0"/>
            <w:vAlign w:val="center"/>
          </w:tcPr>
          <w:p w14:paraId="70560865">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2054" w:type="dxa"/>
            <w:noWrap w:val="0"/>
            <w:vAlign w:val="center"/>
          </w:tcPr>
          <w:p w14:paraId="12429096">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2m跨步鞋凳</w:t>
            </w:r>
          </w:p>
        </w:tc>
        <w:tc>
          <w:tcPr>
            <w:tcW w:w="4545" w:type="dxa"/>
            <w:noWrap w:val="0"/>
            <w:vAlign w:val="center"/>
          </w:tcPr>
          <w:p w14:paraId="4115185A">
            <w:pPr>
              <w:keepNext w:val="0"/>
              <w:keepLines w:val="0"/>
              <w:suppressLineNumbers w:val="0"/>
              <w:spacing w:before="0" w:beforeAutospacing="0" w:after="0" w:afterAutospacing="0"/>
              <w:ind w:left="0" w:right="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304不锈钢（成品）</w:t>
            </w:r>
          </w:p>
          <w:p w14:paraId="788EF6B4">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r>
              <w:rPr>
                <w:rFonts w:hint="eastAsia" w:ascii="宋体" w:hAnsi="宋体" w:cs="宋体"/>
                <w:sz w:val="22"/>
                <w:szCs w:val="22"/>
                <w:lang w:val="en-US" w:eastAsia="zh-CN"/>
              </w:rPr>
              <w:t>宽度：30cm</w:t>
            </w:r>
          </w:p>
        </w:tc>
        <w:tc>
          <w:tcPr>
            <w:tcW w:w="995" w:type="dxa"/>
            <w:noWrap w:val="0"/>
            <w:vAlign w:val="center"/>
          </w:tcPr>
          <w:p w14:paraId="25509186">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个</w:t>
            </w:r>
          </w:p>
        </w:tc>
        <w:tc>
          <w:tcPr>
            <w:tcW w:w="1110" w:type="dxa"/>
            <w:noWrap w:val="0"/>
            <w:vAlign w:val="center"/>
          </w:tcPr>
          <w:p w14:paraId="74020495">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r>
      <w:tr w14:paraId="2457D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jc w:val="center"/>
        </w:trPr>
        <w:tc>
          <w:tcPr>
            <w:tcW w:w="823" w:type="dxa"/>
            <w:noWrap w:val="0"/>
            <w:vAlign w:val="center"/>
          </w:tcPr>
          <w:p w14:paraId="7B3B92D9">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p>
        </w:tc>
        <w:tc>
          <w:tcPr>
            <w:tcW w:w="2054" w:type="dxa"/>
            <w:noWrap w:val="0"/>
            <w:vAlign w:val="center"/>
          </w:tcPr>
          <w:p w14:paraId="07FE4B7D">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窗帘</w:t>
            </w:r>
          </w:p>
        </w:tc>
        <w:tc>
          <w:tcPr>
            <w:tcW w:w="4545" w:type="dxa"/>
            <w:noWrap w:val="0"/>
            <w:vAlign w:val="center"/>
          </w:tcPr>
          <w:p w14:paraId="6852208E">
            <w:pPr>
              <w:keepNext w:val="0"/>
              <w:keepLines w:val="0"/>
              <w:suppressLineNumbers w:val="0"/>
              <w:spacing w:before="0" w:beforeAutospacing="0" w:after="0" w:afterAutospacing="0"/>
              <w:ind w:left="0" w:right="0"/>
              <w:jc w:val="both"/>
              <w:rPr>
                <w:rFonts w:hint="eastAsia" w:ascii="宋体" w:hAnsi="宋体" w:cs="宋体"/>
                <w:sz w:val="22"/>
                <w:szCs w:val="22"/>
                <w:lang w:val="en-US" w:eastAsia="zh-CN"/>
              </w:rPr>
            </w:pPr>
            <w:r>
              <w:rPr>
                <w:rFonts w:hint="eastAsia" w:ascii="宋体" w:hAnsi="宋体" w:eastAsia="宋体" w:cs="宋体"/>
                <w:sz w:val="22"/>
                <w:szCs w:val="22"/>
                <w:lang w:val="en-US" w:eastAsia="zh-CN"/>
              </w:rPr>
              <w:t>天帘</w:t>
            </w:r>
            <w:r>
              <w:rPr>
                <w:rFonts w:hint="eastAsia" w:ascii="宋体" w:hAnsi="宋体" w:cs="宋体"/>
                <w:sz w:val="22"/>
                <w:szCs w:val="22"/>
                <w:lang w:val="en-US" w:eastAsia="zh-CN"/>
              </w:rPr>
              <w:t>材质：100%涤纶</w:t>
            </w:r>
          </w:p>
          <w:p w14:paraId="7485C0C6">
            <w:pPr>
              <w:keepNext w:val="0"/>
              <w:keepLines w:val="0"/>
              <w:suppressLineNumbers w:val="0"/>
              <w:spacing w:before="0" w:beforeAutospacing="0" w:after="0" w:afterAutospacing="0"/>
              <w:ind w:left="0" w:right="0"/>
              <w:jc w:val="both"/>
              <w:rPr>
                <w:rFonts w:hint="eastAsia" w:ascii="宋体" w:hAnsi="宋体" w:cs="宋体"/>
                <w:sz w:val="22"/>
                <w:szCs w:val="22"/>
                <w:lang w:val="en-US" w:eastAsia="zh-CN"/>
              </w:rPr>
            </w:pPr>
            <w:r>
              <w:rPr>
                <w:rFonts w:hint="eastAsia" w:ascii="宋体" w:hAnsi="宋体" w:cs="宋体"/>
                <w:sz w:val="22"/>
                <w:szCs w:val="22"/>
                <w:lang w:val="en-US" w:eastAsia="zh-CN"/>
              </w:rPr>
              <w:t>阻燃等级：B1</w:t>
            </w:r>
          </w:p>
          <w:p w14:paraId="157F26A8">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cs="宋体"/>
                <w:sz w:val="22"/>
                <w:szCs w:val="22"/>
                <w:lang w:val="en-US" w:eastAsia="zh-CN"/>
              </w:rPr>
              <w:t>尺寸：宽幅2.6米。高度2.6米</w:t>
            </w:r>
          </w:p>
        </w:tc>
        <w:tc>
          <w:tcPr>
            <w:tcW w:w="995" w:type="dxa"/>
            <w:noWrap w:val="0"/>
            <w:vAlign w:val="center"/>
          </w:tcPr>
          <w:p w14:paraId="3D5442BC">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m</w:t>
            </w:r>
          </w:p>
        </w:tc>
        <w:tc>
          <w:tcPr>
            <w:tcW w:w="1110" w:type="dxa"/>
            <w:noWrap w:val="0"/>
            <w:vAlign w:val="center"/>
          </w:tcPr>
          <w:p w14:paraId="169B097F">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2</w:t>
            </w:r>
            <w:r>
              <w:rPr>
                <w:rFonts w:hint="eastAsia" w:ascii="宋体" w:hAnsi="宋体" w:eastAsia="宋体" w:cs="宋体"/>
                <w:sz w:val="22"/>
                <w:szCs w:val="22"/>
                <w:lang w:val="en-US" w:eastAsia="zh-CN"/>
              </w:rPr>
              <w:t>.05</w:t>
            </w:r>
          </w:p>
        </w:tc>
      </w:tr>
      <w:tr w14:paraId="65682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823" w:type="dxa"/>
            <w:noWrap w:val="0"/>
            <w:vAlign w:val="center"/>
          </w:tcPr>
          <w:p w14:paraId="0E74D127">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c>
          <w:tcPr>
            <w:tcW w:w="2054" w:type="dxa"/>
            <w:noWrap w:val="0"/>
            <w:vAlign w:val="center"/>
          </w:tcPr>
          <w:p w14:paraId="6977E7CE">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块料楼地面</w:t>
            </w:r>
          </w:p>
        </w:tc>
        <w:tc>
          <w:tcPr>
            <w:tcW w:w="4545" w:type="dxa"/>
            <w:noWrap w:val="0"/>
            <w:vAlign w:val="center"/>
          </w:tcPr>
          <w:p w14:paraId="07D9D68C">
            <w:pPr>
              <w:keepNext w:val="0"/>
              <w:keepLines w:val="0"/>
              <w:suppressLineNumbers w:val="0"/>
              <w:spacing w:before="0" w:beforeAutospacing="0" w:after="0" w:afterAutospacing="0"/>
              <w:ind w:left="0" w:right="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防滑地砖</w:t>
            </w:r>
          </w:p>
          <w:p w14:paraId="4FFCA008">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r>
              <w:rPr>
                <w:rFonts w:hint="eastAsia" w:ascii="宋体" w:hAnsi="宋体" w:cs="宋体"/>
                <w:sz w:val="22"/>
                <w:szCs w:val="22"/>
                <w:lang w:val="en-US" w:eastAsia="zh-CN"/>
              </w:rPr>
              <w:t>尺寸：600*600mm</w:t>
            </w:r>
          </w:p>
        </w:tc>
        <w:tc>
          <w:tcPr>
            <w:tcW w:w="995" w:type="dxa"/>
            <w:noWrap w:val="0"/>
            <w:vAlign w:val="center"/>
          </w:tcPr>
          <w:p w14:paraId="28E33E96">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t>m2</w:t>
            </w:r>
          </w:p>
        </w:tc>
        <w:tc>
          <w:tcPr>
            <w:tcW w:w="1110" w:type="dxa"/>
            <w:noWrap w:val="0"/>
            <w:vAlign w:val="center"/>
          </w:tcPr>
          <w:p w14:paraId="09296F3C">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10</w:t>
            </w:r>
            <w:r>
              <w:rPr>
                <w:rFonts w:hint="eastAsia" w:ascii="宋体" w:hAnsi="宋体" w:eastAsia="宋体" w:cs="宋体"/>
                <w:sz w:val="22"/>
                <w:szCs w:val="22"/>
                <w:lang w:val="en-US" w:eastAsia="zh-CN"/>
              </w:rPr>
              <w:t>.34</w:t>
            </w:r>
          </w:p>
        </w:tc>
      </w:tr>
      <w:tr w14:paraId="1FFE0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823" w:type="dxa"/>
            <w:noWrap w:val="0"/>
            <w:vAlign w:val="center"/>
          </w:tcPr>
          <w:p w14:paraId="6282614D">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w:t>
            </w:r>
          </w:p>
        </w:tc>
        <w:tc>
          <w:tcPr>
            <w:tcW w:w="2054" w:type="dxa"/>
            <w:noWrap w:val="0"/>
            <w:vAlign w:val="center"/>
          </w:tcPr>
          <w:p w14:paraId="7E152529">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装饰脚手架</w:t>
            </w:r>
          </w:p>
        </w:tc>
        <w:tc>
          <w:tcPr>
            <w:tcW w:w="4545" w:type="dxa"/>
            <w:noWrap w:val="0"/>
            <w:vAlign w:val="center"/>
          </w:tcPr>
          <w:p w14:paraId="200DC1FA">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r>
              <w:rPr>
                <w:rFonts w:hint="eastAsia" w:ascii="宋体" w:hAnsi="宋体" w:eastAsia="宋体" w:cs="宋体"/>
                <w:sz w:val="22"/>
                <w:szCs w:val="22"/>
              </w:rPr>
              <w:t>综合考虑</w:t>
            </w:r>
          </w:p>
        </w:tc>
        <w:tc>
          <w:tcPr>
            <w:tcW w:w="995" w:type="dxa"/>
            <w:noWrap w:val="0"/>
            <w:vAlign w:val="center"/>
          </w:tcPr>
          <w:p w14:paraId="47BEC5C8">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t>m2</w:t>
            </w:r>
          </w:p>
        </w:tc>
        <w:tc>
          <w:tcPr>
            <w:tcW w:w="1110" w:type="dxa"/>
            <w:noWrap w:val="0"/>
            <w:vAlign w:val="center"/>
          </w:tcPr>
          <w:p w14:paraId="69B334C3">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lang w:val="en-US" w:eastAsia="zh-CN"/>
              </w:rPr>
              <w:t>8</w:t>
            </w:r>
          </w:p>
        </w:tc>
      </w:tr>
      <w:tr w14:paraId="7AC82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23" w:type="dxa"/>
            <w:noWrap w:val="0"/>
            <w:vAlign w:val="center"/>
          </w:tcPr>
          <w:p w14:paraId="78DC4673">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2054" w:type="dxa"/>
            <w:noWrap w:val="0"/>
            <w:vAlign w:val="center"/>
          </w:tcPr>
          <w:p w14:paraId="3ACB01AC">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配电箱</w:t>
            </w:r>
          </w:p>
        </w:tc>
        <w:tc>
          <w:tcPr>
            <w:tcW w:w="4545" w:type="dxa"/>
            <w:noWrap w:val="0"/>
            <w:vAlign w:val="center"/>
          </w:tcPr>
          <w:p w14:paraId="418C6B21">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1、名称:配电箱</w:t>
            </w:r>
          </w:p>
          <w:p w14:paraId="3EC5121A">
            <w:pPr>
              <w:keepNext w:val="0"/>
              <w:keepLines w:val="0"/>
              <w:suppressLineNumbers w:val="0"/>
              <w:spacing w:before="0" w:beforeAutospacing="0" w:after="0" w:afterAutospacing="0"/>
              <w:ind w:left="0" w:right="0"/>
              <w:jc w:val="both"/>
              <w:rPr>
                <w:rFonts w:hint="default" w:ascii="宋体" w:hAnsi="宋体" w:eastAsia="宋体" w:cs="宋体"/>
                <w:sz w:val="22"/>
                <w:szCs w:val="22"/>
                <w:lang w:val="en-US" w:eastAsia="zh-CN"/>
              </w:rPr>
            </w:pPr>
            <w:r>
              <w:rPr>
                <w:rFonts w:hint="eastAsia" w:ascii="宋体" w:hAnsi="宋体" w:cs="宋体"/>
                <w:sz w:val="22"/>
                <w:szCs w:val="22"/>
                <w:lang w:val="en-US" w:eastAsia="zh-CN"/>
              </w:rPr>
              <w:t>2</w:t>
            </w:r>
            <w:r>
              <w:rPr>
                <w:rFonts w:hint="eastAsia" w:ascii="宋体" w:hAnsi="宋体" w:eastAsia="宋体" w:cs="宋体"/>
                <w:sz w:val="22"/>
                <w:szCs w:val="22"/>
              </w:rPr>
              <w:t>、</w:t>
            </w:r>
            <w:r>
              <w:rPr>
                <w:rFonts w:hint="eastAsia" w:ascii="宋体" w:hAnsi="宋体" w:cs="宋体"/>
                <w:sz w:val="22"/>
                <w:szCs w:val="22"/>
                <w:lang w:val="en-US" w:eastAsia="zh-CN"/>
              </w:rPr>
              <w:t>尺寸：350*250*120mm</w:t>
            </w:r>
          </w:p>
          <w:p w14:paraId="27D9BAAD">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r>
              <w:rPr>
                <w:rFonts w:hint="eastAsia" w:ascii="宋体" w:hAnsi="宋体" w:cs="宋体"/>
                <w:sz w:val="22"/>
                <w:szCs w:val="22"/>
                <w:lang w:val="en-US" w:eastAsia="zh-CN"/>
              </w:rPr>
              <w:t>3</w:t>
            </w:r>
            <w:r>
              <w:rPr>
                <w:rFonts w:hint="eastAsia" w:ascii="宋体" w:hAnsi="宋体" w:eastAsia="宋体" w:cs="宋体"/>
                <w:sz w:val="22"/>
                <w:szCs w:val="22"/>
              </w:rPr>
              <w:t>、安装方式:挂墙明装</w:t>
            </w:r>
          </w:p>
        </w:tc>
        <w:tc>
          <w:tcPr>
            <w:tcW w:w="995" w:type="dxa"/>
            <w:noWrap w:val="0"/>
            <w:vAlign w:val="center"/>
          </w:tcPr>
          <w:p w14:paraId="71E69993">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t>台</w:t>
            </w:r>
          </w:p>
        </w:tc>
        <w:tc>
          <w:tcPr>
            <w:tcW w:w="1110" w:type="dxa"/>
            <w:noWrap w:val="0"/>
            <w:vAlign w:val="center"/>
          </w:tcPr>
          <w:p w14:paraId="10A93A92">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r>
      <w:tr w14:paraId="0ABEB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jc w:val="center"/>
        </w:trPr>
        <w:tc>
          <w:tcPr>
            <w:tcW w:w="823" w:type="dxa"/>
            <w:noWrap w:val="0"/>
            <w:vAlign w:val="center"/>
          </w:tcPr>
          <w:p w14:paraId="359C99EB">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9</w:t>
            </w:r>
          </w:p>
        </w:tc>
        <w:tc>
          <w:tcPr>
            <w:tcW w:w="2054" w:type="dxa"/>
            <w:noWrap w:val="0"/>
            <w:vAlign w:val="center"/>
          </w:tcPr>
          <w:p w14:paraId="4EA10B4E">
            <w:pPr>
              <w:keepNext w:val="0"/>
              <w:keepLines w:val="0"/>
              <w:suppressLineNumbers w:val="0"/>
              <w:spacing w:before="0" w:beforeAutospacing="0" w:after="0" w:afterAutospacing="0"/>
              <w:ind w:left="0" w:leftChars="0" w:right="0" w:rightChars="0"/>
              <w:jc w:val="center"/>
              <w:rPr>
                <w:rFonts w:hint="eastAsia" w:ascii="宋体" w:hAnsi="宋体" w:eastAsia="宋体" w:cs="宋体"/>
                <w:sz w:val="22"/>
                <w:szCs w:val="22"/>
              </w:rPr>
            </w:pPr>
            <w:r>
              <w:rPr>
                <w:rFonts w:hint="eastAsia" w:ascii="宋体" w:hAnsi="宋体" w:eastAsia="宋体" w:cs="宋体"/>
                <w:sz w:val="22"/>
                <w:szCs w:val="22"/>
              </w:rPr>
              <w:t>配管</w:t>
            </w:r>
          </w:p>
        </w:tc>
        <w:tc>
          <w:tcPr>
            <w:tcW w:w="4545" w:type="dxa"/>
            <w:noWrap w:val="0"/>
            <w:vAlign w:val="center"/>
          </w:tcPr>
          <w:p w14:paraId="4FAE12BD">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1、名称:配管</w:t>
            </w:r>
          </w:p>
          <w:p w14:paraId="1586665F">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2、材质:PC20</w:t>
            </w:r>
          </w:p>
          <w:p w14:paraId="3EC0E622">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3、配置形式:吊顶内明敷</w:t>
            </w:r>
          </w:p>
          <w:p w14:paraId="3A40E110">
            <w:pPr>
              <w:keepNext w:val="0"/>
              <w:keepLines w:val="0"/>
              <w:suppressLineNumbers w:val="0"/>
              <w:spacing w:before="0" w:beforeAutospacing="0" w:after="0" w:afterAutospacing="0"/>
              <w:ind w:left="0" w:leftChars="0" w:right="0" w:rightChars="0"/>
              <w:jc w:val="both"/>
              <w:rPr>
                <w:rFonts w:hint="eastAsia" w:ascii="宋体" w:hAnsi="宋体" w:eastAsia="宋体" w:cs="宋体"/>
                <w:sz w:val="22"/>
                <w:szCs w:val="22"/>
              </w:rPr>
            </w:pPr>
          </w:p>
        </w:tc>
        <w:tc>
          <w:tcPr>
            <w:tcW w:w="995" w:type="dxa"/>
            <w:noWrap w:val="0"/>
            <w:vAlign w:val="center"/>
          </w:tcPr>
          <w:p w14:paraId="1A6C552E">
            <w:pPr>
              <w:keepNext w:val="0"/>
              <w:keepLines w:val="0"/>
              <w:suppressLineNumbers w:val="0"/>
              <w:spacing w:before="0" w:beforeAutospacing="0" w:after="0" w:afterAutospacing="0"/>
              <w:ind w:left="0" w:right="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m</w:t>
            </w:r>
          </w:p>
        </w:tc>
        <w:tc>
          <w:tcPr>
            <w:tcW w:w="1110" w:type="dxa"/>
            <w:noWrap w:val="0"/>
            <w:vAlign w:val="center"/>
          </w:tcPr>
          <w:p w14:paraId="6584B215">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cs="宋体"/>
                <w:sz w:val="22"/>
                <w:szCs w:val="22"/>
                <w:lang w:val="en-US" w:eastAsia="zh-CN"/>
              </w:rPr>
              <w:t>3</w:t>
            </w:r>
            <w:r>
              <w:rPr>
                <w:rFonts w:hint="eastAsia" w:ascii="宋体" w:hAnsi="宋体" w:eastAsia="宋体" w:cs="宋体"/>
                <w:sz w:val="22"/>
                <w:szCs w:val="22"/>
              </w:rPr>
              <w:t>.2</w:t>
            </w:r>
          </w:p>
        </w:tc>
      </w:tr>
      <w:tr w14:paraId="0F120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jc w:val="center"/>
        </w:trPr>
        <w:tc>
          <w:tcPr>
            <w:tcW w:w="823" w:type="dxa"/>
            <w:noWrap w:val="0"/>
            <w:vAlign w:val="center"/>
          </w:tcPr>
          <w:p w14:paraId="6585CA10">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r>
              <w:rPr>
                <w:rFonts w:hint="eastAsia" w:ascii="宋体" w:hAnsi="宋体" w:eastAsia="宋体" w:cs="宋体"/>
                <w:sz w:val="22"/>
                <w:szCs w:val="22"/>
              </w:rPr>
              <w:drawing>
                <wp:anchor distT="0" distB="0" distL="114300" distR="114300" simplePos="0" relativeHeight="251659264" behindDoc="0" locked="0" layoutInCell="1" allowOverlap="1">
                  <wp:simplePos x="0" y="0"/>
                  <wp:positionH relativeFrom="page">
                    <wp:posOffset>904240</wp:posOffset>
                  </wp:positionH>
                  <wp:positionV relativeFrom="page">
                    <wp:posOffset>7090410</wp:posOffset>
                  </wp:positionV>
                  <wp:extent cx="147955" cy="8255"/>
                  <wp:effectExtent l="0" t="0" r="0" b="0"/>
                  <wp:wrapNone/>
                  <wp:docPr id="4" name="IM 368"/>
                  <wp:cNvGraphicFramePr/>
                  <a:graphic xmlns:a="http://schemas.openxmlformats.org/drawingml/2006/main">
                    <a:graphicData uri="http://schemas.openxmlformats.org/drawingml/2006/picture">
                      <pic:pic xmlns:pic="http://schemas.openxmlformats.org/drawingml/2006/picture">
                        <pic:nvPicPr>
                          <pic:cNvPr id="4" name="IM 368"/>
                          <pic:cNvPicPr/>
                        </pic:nvPicPr>
                        <pic:blipFill>
                          <a:blip r:embed="rId10"/>
                          <a:stretch>
                            <a:fillRect/>
                          </a:stretch>
                        </pic:blipFill>
                        <pic:spPr>
                          <a:xfrm>
                            <a:off x="0" y="0"/>
                            <a:ext cx="147955" cy="8255"/>
                          </a:xfrm>
                          <a:prstGeom prst="rect">
                            <a:avLst/>
                          </a:prstGeom>
                          <a:noFill/>
                          <a:ln>
                            <a:noFill/>
                          </a:ln>
                        </pic:spPr>
                      </pic:pic>
                    </a:graphicData>
                  </a:graphic>
                </wp:anchor>
              </w:drawing>
            </w:r>
          </w:p>
          <w:p w14:paraId="3897099E">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10</w:t>
            </w:r>
          </w:p>
        </w:tc>
        <w:tc>
          <w:tcPr>
            <w:tcW w:w="2054" w:type="dxa"/>
            <w:noWrap w:val="0"/>
            <w:vAlign w:val="center"/>
          </w:tcPr>
          <w:p w14:paraId="60747993">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配管</w:t>
            </w:r>
          </w:p>
        </w:tc>
        <w:tc>
          <w:tcPr>
            <w:tcW w:w="4545" w:type="dxa"/>
            <w:noWrap w:val="0"/>
            <w:vAlign w:val="center"/>
          </w:tcPr>
          <w:p w14:paraId="5FA28D9D">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1、名称:配管</w:t>
            </w:r>
          </w:p>
          <w:p w14:paraId="7A34B57D">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2、材质:PC20</w:t>
            </w:r>
          </w:p>
          <w:p w14:paraId="33DB057B">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3、配置形式:暗配</w:t>
            </w:r>
          </w:p>
          <w:p w14:paraId="748E7D6A">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p>
        </w:tc>
        <w:tc>
          <w:tcPr>
            <w:tcW w:w="995" w:type="dxa"/>
            <w:noWrap w:val="0"/>
            <w:vAlign w:val="center"/>
          </w:tcPr>
          <w:p w14:paraId="307556A8">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w:t>
            </w:r>
          </w:p>
        </w:tc>
        <w:tc>
          <w:tcPr>
            <w:tcW w:w="1110" w:type="dxa"/>
            <w:noWrap w:val="0"/>
            <w:vAlign w:val="center"/>
          </w:tcPr>
          <w:p w14:paraId="39B32CA8">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cs="宋体"/>
                <w:sz w:val="22"/>
                <w:szCs w:val="22"/>
                <w:lang w:val="en-US" w:eastAsia="zh-CN"/>
              </w:rPr>
              <w:t>3</w:t>
            </w:r>
            <w:r>
              <w:rPr>
                <w:rFonts w:hint="eastAsia" w:ascii="宋体" w:hAnsi="宋体" w:eastAsia="宋体" w:cs="宋体"/>
                <w:sz w:val="22"/>
                <w:szCs w:val="22"/>
              </w:rPr>
              <w:t>.4</w:t>
            </w:r>
          </w:p>
        </w:tc>
      </w:tr>
      <w:tr w14:paraId="6484A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jc w:val="center"/>
        </w:trPr>
        <w:tc>
          <w:tcPr>
            <w:tcW w:w="823" w:type="dxa"/>
            <w:noWrap w:val="0"/>
            <w:vAlign w:val="center"/>
          </w:tcPr>
          <w:p w14:paraId="797DEC0E">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45AFE9A2">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11</w:t>
            </w:r>
          </w:p>
        </w:tc>
        <w:tc>
          <w:tcPr>
            <w:tcW w:w="2054" w:type="dxa"/>
            <w:noWrap w:val="0"/>
            <w:vAlign w:val="center"/>
          </w:tcPr>
          <w:p w14:paraId="49727899">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配管</w:t>
            </w:r>
          </w:p>
        </w:tc>
        <w:tc>
          <w:tcPr>
            <w:tcW w:w="4545" w:type="dxa"/>
            <w:noWrap w:val="0"/>
            <w:vAlign w:val="center"/>
          </w:tcPr>
          <w:p w14:paraId="3F71E372">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1、名称:配管</w:t>
            </w:r>
          </w:p>
          <w:p w14:paraId="093F3ECE">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2、材质:PC25</w:t>
            </w:r>
          </w:p>
          <w:p w14:paraId="0EBEF9FE">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3、配置形式:吊顶内明敷</w:t>
            </w:r>
          </w:p>
        </w:tc>
        <w:tc>
          <w:tcPr>
            <w:tcW w:w="995" w:type="dxa"/>
            <w:noWrap w:val="0"/>
            <w:vAlign w:val="center"/>
          </w:tcPr>
          <w:p w14:paraId="1F1F3E00">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w:t>
            </w:r>
          </w:p>
        </w:tc>
        <w:tc>
          <w:tcPr>
            <w:tcW w:w="1110" w:type="dxa"/>
            <w:noWrap w:val="0"/>
            <w:vAlign w:val="center"/>
          </w:tcPr>
          <w:p w14:paraId="465F957B">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2</w:t>
            </w:r>
            <w:r>
              <w:rPr>
                <w:rFonts w:hint="eastAsia" w:ascii="宋体" w:hAnsi="宋体" w:cs="宋体"/>
                <w:sz w:val="22"/>
                <w:szCs w:val="22"/>
                <w:lang w:val="en-US" w:eastAsia="zh-CN"/>
              </w:rPr>
              <w:t>4</w:t>
            </w:r>
            <w:r>
              <w:rPr>
                <w:rFonts w:hint="eastAsia" w:ascii="宋体" w:hAnsi="宋体" w:eastAsia="宋体" w:cs="宋体"/>
                <w:sz w:val="22"/>
                <w:szCs w:val="22"/>
              </w:rPr>
              <w:t>.3</w:t>
            </w:r>
          </w:p>
        </w:tc>
      </w:tr>
      <w:tr w14:paraId="01406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5" w:hRule="atLeast"/>
          <w:jc w:val="center"/>
        </w:trPr>
        <w:tc>
          <w:tcPr>
            <w:tcW w:w="823" w:type="dxa"/>
            <w:noWrap w:val="0"/>
            <w:vAlign w:val="center"/>
          </w:tcPr>
          <w:p w14:paraId="1F22EAE4">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07B8406D">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12</w:t>
            </w:r>
          </w:p>
        </w:tc>
        <w:tc>
          <w:tcPr>
            <w:tcW w:w="2054" w:type="dxa"/>
            <w:noWrap w:val="0"/>
            <w:vAlign w:val="center"/>
          </w:tcPr>
          <w:p w14:paraId="4E74DBD6">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配线</w:t>
            </w:r>
          </w:p>
        </w:tc>
        <w:tc>
          <w:tcPr>
            <w:tcW w:w="4545" w:type="dxa"/>
            <w:noWrap w:val="0"/>
            <w:vAlign w:val="center"/>
          </w:tcPr>
          <w:p w14:paraId="6A9B136B">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1、名称:配线</w:t>
            </w:r>
          </w:p>
          <w:p w14:paraId="17518770">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2、配线形式:管内穿线</w:t>
            </w:r>
          </w:p>
          <w:p w14:paraId="1BB39E27">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3、规格:BYJ-2.5</w:t>
            </w:r>
          </w:p>
        </w:tc>
        <w:tc>
          <w:tcPr>
            <w:tcW w:w="995" w:type="dxa"/>
            <w:noWrap w:val="0"/>
            <w:vAlign w:val="center"/>
          </w:tcPr>
          <w:p w14:paraId="76E973AC">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w:t>
            </w:r>
          </w:p>
        </w:tc>
        <w:tc>
          <w:tcPr>
            <w:tcW w:w="1110" w:type="dxa"/>
            <w:noWrap w:val="0"/>
            <w:vAlign w:val="center"/>
          </w:tcPr>
          <w:p w14:paraId="2FF18996">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cs="宋体"/>
                <w:sz w:val="22"/>
                <w:szCs w:val="22"/>
                <w:lang w:val="en-US" w:eastAsia="zh-CN"/>
              </w:rPr>
              <w:t>80</w:t>
            </w:r>
            <w:r>
              <w:rPr>
                <w:rFonts w:hint="eastAsia" w:ascii="宋体" w:hAnsi="宋体" w:eastAsia="宋体" w:cs="宋体"/>
                <w:sz w:val="22"/>
                <w:szCs w:val="22"/>
              </w:rPr>
              <w:t>.8</w:t>
            </w:r>
          </w:p>
        </w:tc>
      </w:tr>
      <w:tr w14:paraId="0EE65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 w:hRule="atLeast"/>
          <w:jc w:val="center"/>
        </w:trPr>
        <w:tc>
          <w:tcPr>
            <w:tcW w:w="823" w:type="dxa"/>
            <w:noWrap w:val="0"/>
            <w:vAlign w:val="center"/>
          </w:tcPr>
          <w:p w14:paraId="5647F189">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49DF8869">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13</w:t>
            </w:r>
          </w:p>
        </w:tc>
        <w:tc>
          <w:tcPr>
            <w:tcW w:w="2054" w:type="dxa"/>
            <w:noWrap w:val="0"/>
            <w:vAlign w:val="center"/>
          </w:tcPr>
          <w:p w14:paraId="3C6DE6D9">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电力电缆</w:t>
            </w:r>
          </w:p>
        </w:tc>
        <w:tc>
          <w:tcPr>
            <w:tcW w:w="4545" w:type="dxa"/>
            <w:noWrap w:val="0"/>
            <w:vAlign w:val="center"/>
          </w:tcPr>
          <w:p w14:paraId="34ACFBDF">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1、名称:电力电缆</w:t>
            </w:r>
          </w:p>
          <w:p w14:paraId="18E1199D">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2、型号规格:WDZN-YJY-5*10</w:t>
            </w:r>
          </w:p>
          <w:p w14:paraId="3C2AC386">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3、电压等级（kV）:0.6/1KV</w:t>
            </w:r>
          </w:p>
        </w:tc>
        <w:tc>
          <w:tcPr>
            <w:tcW w:w="995" w:type="dxa"/>
            <w:noWrap w:val="0"/>
            <w:vAlign w:val="center"/>
          </w:tcPr>
          <w:p w14:paraId="7DA572F3">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w:t>
            </w:r>
          </w:p>
        </w:tc>
        <w:tc>
          <w:tcPr>
            <w:tcW w:w="1110" w:type="dxa"/>
            <w:noWrap w:val="0"/>
            <w:vAlign w:val="center"/>
          </w:tcPr>
          <w:p w14:paraId="1BBAFD74">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2</w:t>
            </w:r>
            <w:r>
              <w:rPr>
                <w:rFonts w:hint="eastAsia" w:ascii="宋体" w:hAnsi="宋体" w:cs="宋体"/>
                <w:sz w:val="22"/>
                <w:szCs w:val="22"/>
                <w:lang w:val="en-US" w:eastAsia="zh-CN"/>
              </w:rPr>
              <w:t>6</w:t>
            </w:r>
            <w:r>
              <w:rPr>
                <w:rFonts w:hint="eastAsia" w:ascii="宋体" w:hAnsi="宋体" w:eastAsia="宋体" w:cs="宋体"/>
                <w:sz w:val="22"/>
                <w:szCs w:val="22"/>
              </w:rPr>
              <w:t>.7</w:t>
            </w:r>
          </w:p>
        </w:tc>
      </w:tr>
      <w:tr w14:paraId="5F440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jc w:val="center"/>
        </w:trPr>
        <w:tc>
          <w:tcPr>
            <w:tcW w:w="823" w:type="dxa"/>
            <w:noWrap w:val="0"/>
            <w:vAlign w:val="center"/>
          </w:tcPr>
          <w:p w14:paraId="77E2DA41">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5155DC86">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14</w:t>
            </w:r>
          </w:p>
        </w:tc>
        <w:tc>
          <w:tcPr>
            <w:tcW w:w="2054" w:type="dxa"/>
            <w:noWrap w:val="0"/>
            <w:vAlign w:val="center"/>
          </w:tcPr>
          <w:p w14:paraId="7E2A3C51">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接线盒</w:t>
            </w:r>
          </w:p>
        </w:tc>
        <w:tc>
          <w:tcPr>
            <w:tcW w:w="4545" w:type="dxa"/>
            <w:noWrap w:val="0"/>
            <w:vAlign w:val="center"/>
          </w:tcPr>
          <w:p w14:paraId="12D2F197">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1、名称:接线盒</w:t>
            </w:r>
          </w:p>
          <w:p w14:paraId="4F869809">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2、材质:塑料</w:t>
            </w:r>
          </w:p>
          <w:p w14:paraId="08351B99">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3、型号:86型</w:t>
            </w:r>
          </w:p>
          <w:p w14:paraId="052EC1B0">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4、安装形式:吊顶内明装</w:t>
            </w:r>
          </w:p>
        </w:tc>
        <w:tc>
          <w:tcPr>
            <w:tcW w:w="995" w:type="dxa"/>
            <w:noWrap w:val="0"/>
            <w:vAlign w:val="center"/>
          </w:tcPr>
          <w:p w14:paraId="10E6FABA">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个</w:t>
            </w:r>
          </w:p>
        </w:tc>
        <w:tc>
          <w:tcPr>
            <w:tcW w:w="1110" w:type="dxa"/>
            <w:noWrap w:val="0"/>
            <w:vAlign w:val="center"/>
          </w:tcPr>
          <w:p w14:paraId="649039D8">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7</w:t>
            </w:r>
          </w:p>
        </w:tc>
      </w:tr>
      <w:tr w14:paraId="2BFCF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6" w:hRule="atLeast"/>
          <w:jc w:val="center"/>
        </w:trPr>
        <w:tc>
          <w:tcPr>
            <w:tcW w:w="823" w:type="dxa"/>
            <w:noWrap w:val="0"/>
            <w:vAlign w:val="center"/>
          </w:tcPr>
          <w:p w14:paraId="340D3165">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72456F9B">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15</w:t>
            </w:r>
          </w:p>
        </w:tc>
        <w:tc>
          <w:tcPr>
            <w:tcW w:w="2054" w:type="dxa"/>
            <w:noWrap w:val="0"/>
            <w:vAlign w:val="center"/>
          </w:tcPr>
          <w:p w14:paraId="56CC4429">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接线盒</w:t>
            </w:r>
          </w:p>
        </w:tc>
        <w:tc>
          <w:tcPr>
            <w:tcW w:w="4545" w:type="dxa"/>
            <w:noWrap w:val="0"/>
            <w:vAlign w:val="center"/>
          </w:tcPr>
          <w:p w14:paraId="11C6ECCD">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1、名称:插座盒</w:t>
            </w:r>
          </w:p>
          <w:p w14:paraId="6E13B6C0">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2、材质:塑料</w:t>
            </w:r>
          </w:p>
          <w:p w14:paraId="08541A59">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3、型号:86型</w:t>
            </w:r>
          </w:p>
          <w:p w14:paraId="2F0B4256">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4、安装形式:暗装</w:t>
            </w:r>
          </w:p>
        </w:tc>
        <w:tc>
          <w:tcPr>
            <w:tcW w:w="995" w:type="dxa"/>
            <w:noWrap w:val="0"/>
            <w:vAlign w:val="center"/>
          </w:tcPr>
          <w:p w14:paraId="4689DC05">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个</w:t>
            </w:r>
          </w:p>
        </w:tc>
        <w:tc>
          <w:tcPr>
            <w:tcW w:w="1110" w:type="dxa"/>
            <w:noWrap w:val="0"/>
            <w:vAlign w:val="center"/>
          </w:tcPr>
          <w:p w14:paraId="61816386">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19</w:t>
            </w:r>
          </w:p>
        </w:tc>
      </w:tr>
      <w:tr w14:paraId="06458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823" w:type="dxa"/>
            <w:noWrap w:val="0"/>
            <w:vAlign w:val="center"/>
          </w:tcPr>
          <w:p w14:paraId="61BDAD18">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4B4B9B17">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16</w:t>
            </w:r>
          </w:p>
        </w:tc>
        <w:tc>
          <w:tcPr>
            <w:tcW w:w="2054" w:type="dxa"/>
            <w:noWrap w:val="0"/>
            <w:vAlign w:val="center"/>
          </w:tcPr>
          <w:p w14:paraId="6171E3B2">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插座</w:t>
            </w:r>
          </w:p>
        </w:tc>
        <w:tc>
          <w:tcPr>
            <w:tcW w:w="4545" w:type="dxa"/>
            <w:noWrap w:val="0"/>
            <w:vAlign w:val="center"/>
          </w:tcPr>
          <w:p w14:paraId="7179D4D2">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1、名称:单相五孔插座</w:t>
            </w:r>
          </w:p>
          <w:p w14:paraId="0F9AC065">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2、规格:10A 250V</w:t>
            </w:r>
          </w:p>
          <w:p w14:paraId="6E7A4119">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3、安装方式:暗装</w:t>
            </w:r>
          </w:p>
        </w:tc>
        <w:tc>
          <w:tcPr>
            <w:tcW w:w="995" w:type="dxa"/>
            <w:noWrap w:val="0"/>
            <w:vAlign w:val="center"/>
          </w:tcPr>
          <w:p w14:paraId="4D155206">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个</w:t>
            </w:r>
          </w:p>
        </w:tc>
        <w:tc>
          <w:tcPr>
            <w:tcW w:w="1110" w:type="dxa"/>
            <w:noWrap w:val="0"/>
            <w:vAlign w:val="center"/>
          </w:tcPr>
          <w:p w14:paraId="61409066">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19</w:t>
            </w:r>
          </w:p>
        </w:tc>
      </w:tr>
      <w:tr w14:paraId="0A579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823" w:type="dxa"/>
            <w:noWrap w:val="0"/>
            <w:vAlign w:val="center"/>
          </w:tcPr>
          <w:p w14:paraId="2A8147CC">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00BB744A">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17</w:t>
            </w:r>
          </w:p>
        </w:tc>
        <w:tc>
          <w:tcPr>
            <w:tcW w:w="2054" w:type="dxa"/>
            <w:noWrap w:val="0"/>
            <w:vAlign w:val="center"/>
          </w:tcPr>
          <w:p w14:paraId="44AE7DDE">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荧光灯</w:t>
            </w:r>
          </w:p>
        </w:tc>
        <w:tc>
          <w:tcPr>
            <w:tcW w:w="4545" w:type="dxa"/>
            <w:noWrap w:val="0"/>
            <w:vAlign w:val="center"/>
          </w:tcPr>
          <w:p w14:paraId="2730BAF5">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1、名称:洁净灯</w:t>
            </w:r>
          </w:p>
          <w:p w14:paraId="3974CB8C">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2、型号规格:1200*300mm，60W</w:t>
            </w:r>
          </w:p>
          <w:p w14:paraId="69841A45">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3、安装形式:嵌入式</w:t>
            </w:r>
          </w:p>
        </w:tc>
        <w:tc>
          <w:tcPr>
            <w:tcW w:w="995" w:type="dxa"/>
            <w:noWrap w:val="0"/>
            <w:vAlign w:val="center"/>
          </w:tcPr>
          <w:p w14:paraId="7EACA037">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套</w:t>
            </w:r>
          </w:p>
        </w:tc>
        <w:tc>
          <w:tcPr>
            <w:tcW w:w="1110" w:type="dxa"/>
            <w:noWrap w:val="0"/>
            <w:vAlign w:val="center"/>
          </w:tcPr>
          <w:p w14:paraId="12D0A256">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7</w:t>
            </w:r>
          </w:p>
        </w:tc>
      </w:tr>
      <w:tr w14:paraId="6A996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823" w:type="dxa"/>
            <w:noWrap w:val="0"/>
            <w:vAlign w:val="center"/>
          </w:tcPr>
          <w:p w14:paraId="72A24B54">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7E047632">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18</w:t>
            </w:r>
          </w:p>
        </w:tc>
        <w:tc>
          <w:tcPr>
            <w:tcW w:w="2054" w:type="dxa"/>
            <w:noWrap w:val="0"/>
            <w:vAlign w:val="center"/>
          </w:tcPr>
          <w:p w14:paraId="758F724D">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铁构件</w:t>
            </w:r>
          </w:p>
        </w:tc>
        <w:tc>
          <w:tcPr>
            <w:tcW w:w="4545" w:type="dxa"/>
            <w:noWrap w:val="0"/>
            <w:vAlign w:val="center"/>
          </w:tcPr>
          <w:p w14:paraId="52AA0B4E">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1、名称:线管支吊架制作安装</w:t>
            </w:r>
          </w:p>
          <w:p w14:paraId="3B55A91B">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2、材质:型钢（综合）</w:t>
            </w:r>
          </w:p>
        </w:tc>
        <w:tc>
          <w:tcPr>
            <w:tcW w:w="995" w:type="dxa"/>
            <w:noWrap w:val="0"/>
            <w:vAlign w:val="center"/>
          </w:tcPr>
          <w:p w14:paraId="1DB75C56">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kg</w:t>
            </w:r>
          </w:p>
        </w:tc>
        <w:tc>
          <w:tcPr>
            <w:tcW w:w="1110" w:type="dxa"/>
            <w:noWrap w:val="0"/>
            <w:vAlign w:val="center"/>
          </w:tcPr>
          <w:p w14:paraId="6CBC9585">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2</w:t>
            </w:r>
            <w:r>
              <w:rPr>
                <w:rFonts w:hint="eastAsia" w:ascii="宋体" w:hAnsi="宋体" w:cs="宋体"/>
                <w:sz w:val="22"/>
                <w:szCs w:val="22"/>
                <w:lang w:val="en-US" w:eastAsia="zh-CN"/>
              </w:rPr>
              <w:t>3</w:t>
            </w:r>
            <w:r>
              <w:rPr>
                <w:rFonts w:hint="eastAsia" w:ascii="宋体" w:hAnsi="宋体" w:eastAsia="宋体" w:cs="宋体"/>
                <w:sz w:val="22"/>
                <w:szCs w:val="22"/>
              </w:rPr>
              <w:t>.15</w:t>
            </w:r>
          </w:p>
        </w:tc>
      </w:tr>
      <w:tr w14:paraId="5562B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823" w:type="dxa"/>
            <w:noWrap w:val="0"/>
            <w:vAlign w:val="center"/>
          </w:tcPr>
          <w:p w14:paraId="14BB5EE3">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19</w:t>
            </w:r>
          </w:p>
        </w:tc>
        <w:tc>
          <w:tcPr>
            <w:tcW w:w="2054" w:type="dxa"/>
            <w:noWrap w:val="0"/>
            <w:vAlign w:val="center"/>
          </w:tcPr>
          <w:p w14:paraId="4E70886C">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大便器</w:t>
            </w:r>
          </w:p>
        </w:tc>
        <w:tc>
          <w:tcPr>
            <w:tcW w:w="4545" w:type="dxa"/>
            <w:noWrap w:val="0"/>
            <w:vAlign w:val="center"/>
          </w:tcPr>
          <w:p w14:paraId="394179CC">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1、名称:坐便器</w:t>
            </w:r>
          </w:p>
          <w:p w14:paraId="2C3F461E">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2、附件名称、数量:含所有附件安装</w:t>
            </w:r>
          </w:p>
          <w:p w14:paraId="07A319A3">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cs="宋体"/>
                <w:snapToGrid w:val="0"/>
                <w:color w:val="000000"/>
                <w:kern w:val="0"/>
                <w:sz w:val="22"/>
                <w:szCs w:val="22"/>
                <w:lang w:val="en-US" w:eastAsia="zh-CN" w:bidi="ar-SA"/>
              </w:rPr>
              <w:t>3,尺寸：700*400*500mm</w:t>
            </w:r>
          </w:p>
        </w:tc>
        <w:tc>
          <w:tcPr>
            <w:tcW w:w="995" w:type="dxa"/>
            <w:noWrap w:val="0"/>
            <w:vAlign w:val="center"/>
          </w:tcPr>
          <w:p w14:paraId="4532ECB7">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组</w:t>
            </w:r>
          </w:p>
        </w:tc>
        <w:tc>
          <w:tcPr>
            <w:tcW w:w="1110" w:type="dxa"/>
            <w:noWrap w:val="0"/>
            <w:vAlign w:val="center"/>
          </w:tcPr>
          <w:p w14:paraId="33580FEC">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1</w:t>
            </w:r>
          </w:p>
        </w:tc>
      </w:tr>
      <w:tr w14:paraId="47D5A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823" w:type="dxa"/>
            <w:noWrap w:val="0"/>
            <w:vAlign w:val="center"/>
          </w:tcPr>
          <w:p w14:paraId="49E9D88F">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20</w:t>
            </w:r>
          </w:p>
        </w:tc>
        <w:tc>
          <w:tcPr>
            <w:tcW w:w="2054" w:type="dxa"/>
            <w:noWrap w:val="0"/>
            <w:vAlign w:val="center"/>
          </w:tcPr>
          <w:p w14:paraId="3711907A">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洗脸盆</w:t>
            </w:r>
          </w:p>
        </w:tc>
        <w:tc>
          <w:tcPr>
            <w:tcW w:w="4545" w:type="dxa"/>
            <w:noWrap w:val="0"/>
            <w:vAlign w:val="center"/>
          </w:tcPr>
          <w:p w14:paraId="6395DA0A">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1、名称:洗手盆</w:t>
            </w:r>
          </w:p>
          <w:p w14:paraId="2AC9E94C">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2、附件名称、数量:含所有附件安装</w:t>
            </w:r>
          </w:p>
          <w:p w14:paraId="7487F11F">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cs="宋体"/>
                <w:snapToGrid w:val="0"/>
                <w:color w:val="000000"/>
                <w:kern w:val="0"/>
                <w:sz w:val="22"/>
                <w:szCs w:val="22"/>
                <w:lang w:val="en-US" w:eastAsia="zh-CN" w:bidi="ar-SA"/>
              </w:rPr>
              <w:t>3，尺寸：600*400*450mm</w:t>
            </w:r>
          </w:p>
        </w:tc>
        <w:tc>
          <w:tcPr>
            <w:tcW w:w="995" w:type="dxa"/>
            <w:noWrap w:val="0"/>
            <w:vAlign w:val="center"/>
          </w:tcPr>
          <w:p w14:paraId="1E989C28">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组</w:t>
            </w:r>
          </w:p>
        </w:tc>
        <w:tc>
          <w:tcPr>
            <w:tcW w:w="1110" w:type="dxa"/>
            <w:noWrap w:val="0"/>
            <w:vAlign w:val="center"/>
          </w:tcPr>
          <w:p w14:paraId="2A57603F">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1</w:t>
            </w:r>
          </w:p>
        </w:tc>
      </w:tr>
      <w:tr w14:paraId="1D7BB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2" w:hRule="atLeast"/>
          <w:jc w:val="center"/>
        </w:trPr>
        <w:tc>
          <w:tcPr>
            <w:tcW w:w="823" w:type="dxa"/>
            <w:noWrap w:val="0"/>
            <w:vAlign w:val="center"/>
          </w:tcPr>
          <w:p w14:paraId="19B8E743">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21</w:t>
            </w:r>
          </w:p>
        </w:tc>
        <w:tc>
          <w:tcPr>
            <w:tcW w:w="2054" w:type="dxa"/>
            <w:noWrap w:val="0"/>
            <w:vAlign w:val="center"/>
          </w:tcPr>
          <w:p w14:paraId="6D1A30CA">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碳钢通风管道</w:t>
            </w:r>
          </w:p>
        </w:tc>
        <w:tc>
          <w:tcPr>
            <w:tcW w:w="4545" w:type="dxa"/>
            <w:noWrap w:val="0"/>
            <w:vAlign w:val="center"/>
          </w:tcPr>
          <w:p w14:paraId="501A85F0">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1、名称:新风管道制作安装</w:t>
            </w:r>
          </w:p>
          <w:p w14:paraId="53E6F7C7">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2、材质:热镀锌钢板</w:t>
            </w:r>
          </w:p>
          <w:p w14:paraId="3D585DD0">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3、形状:矩形</w:t>
            </w:r>
          </w:p>
          <w:p w14:paraId="0AEB72F9">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4、规格:周长4000mm以下</w:t>
            </w:r>
          </w:p>
          <w:p w14:paraId="275A970A">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5、板材厚度:δ0.75mm</w:t>
            </w:r>
          </w:p>
          <w:p w14:paraId="3A6BA73C">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6、接口形式:咬口</w:t>
            </w:r>
          </w:p>
          <w:p w14:paraId="3373E442">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7、包含支吊架及风管法兰刷漆</w:t>
            </w:r>
          </w:p>
        </w:tc>
        <w:tc>
          <w:tcPr>
            <w:tcW w:w="995" w:type="dxa"/>
            <w:noWrap w:val="0"/>
            <w:vAlign w:val="center"/>
          </w:tcPr>
          <w:p w14:paraId="07D506AB">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m2</w:t>
            </w:r>
          </w:p>
        </w:tc>
        <w:tc>
          <w:tcPr>
            <w:tcW w:w="1110" w:type="dxa"/>
            <w:noWrap w:val="0"/>
            <w:vAlign w:val="center"/>
          </w:tcPr>
          <w:p w14:paraId="25DB9EE7">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cs="宋体"/>
                <w:sz w:val="22"/>
                <w:szCs w:val="22"/>
                <w:lang w:val="en-US" w:eastAsia="zh-CN"/>
              </w:rPr>
              <w:t>41</w:t>
            </w:r>
            <w:r>
              <w:rPr>
                <w:rFonts w:hint="eastAsia" w:ascii="宋体" w:hAnsi="宋体" w:eastAsia="宋体" w:cs="宋体"/>
                <w:sz w:val="22"/>
                <w:szCs w:val="22"/>
              </w:rPr>
              <w:t>.12</w:t>
            </w:r>
          </w:p>
        </w:tc>
      </w:tr>
      <w:tr w14:paraId="56A44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2" w:hRule="atLeast"/>
          <w:jc w:val="center"/>
        </w:trPr>
        <w:tc>
          <w:tcPr>
            <w:tcW w:w="823" w:type="dxa"/>
            <w:noWrap w:val="0"/>
            <w:vAlign w:val="center"/>
          </w:tcPr>
          <w:p w14:paraId="7240A5D6">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7F77A1DA">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22</w:t>
            </w:r>
          </w:p>
        </w:tc>
        <w:tc>
          <w:tcPr>
            <w:tcW w:w="2054" w:type="dxa"/>
            <w:noWrap w:val="0"/>
            <w:vAlign w:val="center"/>
          </w:tcPr>
          <w:p w14:paraId="6734A33F">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碳钢通风管道</w:t>
            </w:r>
          </w:p>
        </w:tc>
        <w:tc>
          <w:tcPr>
            <w:tcW w:w="4545" w:type="dxa"/>
            <w:noWrap w:val="0"/>
            <w:vAlign w:val="center"/>
          </w:tcPr>
          <w:p w14:paraId="3285086C">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1、名称:新风管道制作安装</w:t>
            </w:r>
          </w:p>
          <w:p w14:paraId="01049F10">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2、材质:热镀锌钢板</w:t>
            </w:r>
          </w:p>
          <w:p w14:paraId="4E320750">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3、形状:矩形</w:t>
            </w:r>
          </w:p>
          <w:p w14:paraId="19F3E558">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4、规格:周长2000mm以下</w:t>
            </w:r>
          </w:p>
          <w:p w14:paraId="344C3957">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5、板材厚度:δ0.6mm</w:t>
            </w:r>
          </w:p>
          <w:p w14:paraId="76B309D6">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6、接口形式:咬口</w:t>
            </w:r>
          </w:p>
          <w:p w14:paraId="1C079EC7">
            <w:pPr>
              <w:keepNext w:val="0"/>
              <w:keepLines w:val="0"/>
              <w:suppressLineNumbers w:val="0"/>
              <w:spacing w:before="0" w:beforeAutospacing="0" w:after="0" w:afterAutospacing="0"/>
              <w:ind w:left="0" w:leftChars="0" w:right="0" w:rightChars="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7、包含支吊架及风管法兰刷漆</w:t>
            </w:r>
          </w:p>
        </w:tc>
        <w:tc>
          <w:tcPr>
            <w:tcW w:w="995" w:type="dxa"/>
            <w:noWrap w:val="0"/>
            <w:vAlign w:val="center"/>
          </w:tcPr>
          <w:p w14:paraId="6471478D">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m2</w:t>
            </w:r>
          </w:p>
        </w:tc>
        <w:tc>
          <w:tcPr>
            <w:tcW w:w="1110" w:type="dxa"/>
            <w:noWrap w:val="0"/>
            <w:vAlign w:val="center"/>
          </w:tcPr>
          <w:p w14:paraId="0F6EE5EE">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cs="宋体"/>
                <w:sz w:val="22"/>
                <w:szCs w:val="22"/>
                <w:lang w:val="en-US" w:eastAsia="zh-CN"/>
              </w:rPr>
              <w:t>40</w:t>
            </w:r>
            <w:r>
              <w:rPr>
                <w:rFonts w:hint="eastAsia" w:ascii="宋体" w:hAnsi="宋体" w:eastAsia="宋体" w:cs="宋体"/>
                <w:sz w:val="22"/>
                <w:szCs w:val="22"/>
              </w:rPr>
              <w:t>.08</w:t>
            </w:r>
          </w:p>
        </w:tc>
      </w:tr>
      <w:tr w14:paraId="0D897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6" w:hRule="atLeast"/>
          <w:jc w:val="center"/>
        </w:trPr>
        <w:tc>
          <w:tcPr>
            <w:tcW w:w="823" w:type="dxa"/>
            <w:noWrap w:val="0"/>
            <w:vAlign w:val="center"/>
          </w:tcPr>
          <w:p w14:paraId="295A5757">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48829CE2">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23</w:t>
            </w:r>
          </w:p>
        </w:tc>
        <w:tc>
          <w:tcPr>
            <w:tcW w:w="2054" w:type="dxa"/>
            <w:noWrap w:val="0"/>
            <w:vAlign w:val="center"/>
          </w:tcPr>
          <w:p w14:paraId="0C0B3B83">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通风管道绝热</w:t>
            </w:r>
          </w:p>
        </w:tc>
        <w:tc>
          <w:tcPr>
            <w:tcW w:w="4545" w:type="dxa"/>
            <w:noWrap w:val="0"/>
            <w:vAlign w:val="center"/>
          </w:tcPr>
          <w:p w14:paraId="41B25F0C">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1、名称:新风管道保温</w:t>
            </w:r>
          </w:p>
          <w:p w14:paraId="50567B9E">
            <w:pPr>
              <w:keepNext w:val="0"/>
              <w:keepLines w:val="0"/>
              <w:suppressLineNumbers w:val="0"/>
              <w:spacing w:before="0" w:beforeAutospacing="0" w:after="0" w:afterAutospacing="0"/>
              <w:ind w:left="0" w:right="0"/>
              <w:jc w:val="both"/>
              <w:rPr>
                <w:rFonts w:hint="eastAsia" w:ascii="宋体" w:hAnsi="宋体" w:eastAsia="宋体" w:cs="宋体"/>
                <w:sz w:val="22"/>
                <w:szCs w:val="22"/>
              </w:rPr>
            </w:pPr>
            <w:r>
              <w:rPr>
                <w:rFonts w:hint="eastAsia" w:ascii="宋体" w:hAnsi="宋体" w:eastAsia="宋体" w:cs="宋体"/>
                <w:sz w:val="22"/>
                <w:szCs w:val="22"/>
              </w:rPr>
              <w:t>2、绝热材料品种:48kg/m3离心玻璃棉板</w:t>
            </w:r>
          </w:p>
          <w:p w14:paraId="1F3B790F">
            <w:pPr>
              <w:keepNext w:val="0"/>
              <w:keepLines w:val="0"/>
              <w:suppressLineNumbers w:val="0"/>
              <w:spacing w:before="0" w:beforeAutospacing="0" w:after="0" w:afterAutospacing="0"/>
              <w:ind w:left="0" w:right="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3、绝热厚度:30mm</w:t>
            </w:r>
          </w:p>
        </w:tc>
        <w:tc>
          <w:tcPr>
            <w:tcW w:w="995" w:type="dxa"/>
            <w:noWrap w:val="0"/>
            <w:vAlign w:val="center"/>
          </w:tcPr>
          <w:p w14:paraId="6CFE45A3">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m3</w:t>
            </w:r>
          </w:p>
        </w:tc>
        <w:tc>
          <w:tcPr>
            <w:tcW w:w="1110" w:type="dxa"/>
            <w:noWrap w:val="0"/>
            <w:vAlign w:val="center"/>
          </w:tcPr>
          <w:p w14:paraId="287353E3">
            <w:pPr>
              <w:keepNext w:val="0"/>
              <w:keepLines w:val="0"/>
              <w:suppressLineNumbers w:val="0"/>
              <w:spacing w:before="0" w:beforeAutospacing="0" w:after="0" w:afterAutospacing="0"/>
              <w:ind w:left="0" w:right="0"/>
              <w:jc w:val="center"/>
              <w:rPr>
                <w:rFonts w:hint="default"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0.</w:t>
            </w:r>
            <w:r>
              <w:rPr>
                <w:rFonts w:hint="eastAsia" w:ascii="宋体" w:hAnsi="宋体" w:cs="宋体"/>
                <w:sz w:val="22"/>
                <w:szCs w:val="22"/>
                <w:lang w:val="en-US" w:eastAsia="zh-CN"/>
              </w:rPr>
              <w:t>68</w:t>
            </w:r>
          </w:p>
        </w:tc>
      </w:tr>
      <w:tr w14:paraId="4C806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jc w:val="center"/>
        </w:trPr>
        <w:tc>
          <w:tcPr>
            <w:tcW w:w="823" w:type="dxa"/>
            <w:noWrap w:val="0"/>
            <w:vAlign w:val="center"/>
          </w:tcPr>
          <w:p w14:paraId="1727123E">
            <w:pPr>
              <w:keepNext w:val="0"/>
              <w:keepLines w:val="0"/>
              <w:suppressLineNumbers w:val="0"/>
              <w:spacing w:before="0" w:beforeAutospacing="0" w:after="0" w:afterAutospacing="0"/>
              <w:ind w:left="0" w:right="0"/>
              <w:jc w:val="center"/>
              <w:rPr>
                <w:rFonts w:hint="eastAsia" w:ascii="宋体" w:hAnsi="宋体" w:eastAsia="宋体" w:cs="宋体"/>
                <w:sz w:val="22"/>
                <w:szCs w:val="22"/>
              </w:rPr>
            </w:pPr>
          </w:p>
          <w:p w14:paraId="2ED69008">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24</w:t>
            </w:r>
          </w:p>
        </w:tc>
        <w:tc>
          <w:tcPr>
            <w:tcW w:w="2054" w:type="dxa"/>
            <w:noWrap w:val="0"/>
            <w:vAlign w:val="center"/>
          </w:tcPr>
          <w:p w14:paraId="19775AA9">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柔性接口</w:t>
            </w:r>
          </w:p>
        </w:tc>
        <w:tc>
          <w:tcPr>
            <w:tcW w:w="4545" w:type="dxa"/>
            <w:noWrap w:val="0"/>
            <w:vAlign w:val="center"/>
          </w:tcPr>
          <w:p w14:paraId="0AF06468">
            <w:pPr>
              <w:keepNext w:val="0"/>
              <w:keepLines w:val="0"/>
              <w:suppressLineNumbers w:val="0"/>
              <w:spacing w:before="0" w:beforeAutospacing="0" w:after="0" w:afterAutospacing="0"/>
              <w:ind w:left="0" w:right="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z w:val="22"/>
                <w:szCs w:val="22"/>
              </w:rPr>
              <w:t>1、名称:防火帆布软接</w:t>
            </w:r>
          </w:p>
        </w:tc>
        <w:tc>
          <w:tcPr>
            <w:tcW w:w="995" w:type="dxa"/>
            <w:noWrap w:val="0"/>
            <w:vAlign w:val="center"/>
          </w:tcPr>
          <w:p w14:paraId="7D512CF4">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m2</w:t>
            </w:r>
          </w:p>
        </w:tc>
        <w:tc>
          <w:tcPr>
            <w:tcW w:w="1110" w:type="dxa"/>
            <w:noWrap w:val="0"/>
            <w:vAlign w:val="center"/>
          </w:tcPr>
          <w:p w14:paraId="06942F03">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en-US" w:bidi="ar-SA"/>
              </w:rPr>
            </w:pPr>
            <w:r>
              <w:rPr>
                <w:rFonts w:hint="eastAsia" w:ascii="宋体" w:hAnsi="宋体" w:cs="宋体"/>
                <w:sz w:val="22"/>
                <w:szCs w:val="22"/>
                <w:lang w:val="en-US" w:eastAsia="zh-CN"/>
              </w:rPr>
              <w:t>3</w:t>
            </w:r>
            <w:r>
              <w:rPr>
                <w:rFonts w:hint="eastAsia" w:ascii="宋体" w:hAnsi="宋体" w:eastAsia="宋体" w:cs="宋体"/>
                <w:sz w:val="22"/>
                <w:szCs w:val="22"/>
              </w:rPr>
              <w:t>.83</w:t>
            </w:r>
          </w:p>
        </w:tc>
      </w:tr>
      <w:tr w14:paraId="07A26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jc w:val="center"/>
        </w:trPr>
        <w:tc>
          <w:tcPr>
            <w:tcW w:w="823" w:type="dxa"/>
            <w:noWrap w:val="0"/>
            <w:vAlign w:val="center"/>
          </w:tcPr>
          <w:p w14:paraId="408DF669">
            <w:pPr>
              <w:keepNext w:val="0"/>
              <w:keepLines w:val="0"/>
              <w:suppressLineNumbers w:val="0"/>
              <w:spacing w:before="0" w:beforeAutospacing="0" w:after="0" w:afterAutospacing="0"/>
              <w:ind w:left="0" w:right="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lang w:val="en-US" w:eastAsia="zh-CN"/>
              </w:rPr>
              <w:t>25</w:t>
            </w:r>
          </w:p>
        </w:tc>
        <w:tc>
          <w:tcPr>
            <w:tcW w:w="2054" w:type="dxa"/>
            <w:noWrap w:val="0"/>
            <w:vAlign w:val="center"/>
          </w:tcPr>
          <w:p w14:paraId="0A55DAA0">
            <w:pPr>
              <w:keepNext w:val="0"/>
              <w:keepLines w:val="0"/>
              <w:suppressLineNumbers w:val="0"/>
              <w:spacing w:before="0" w:beforeAutospacing="0" w:after="0" w:afterAutospacing="0"/>
              <w:ind w:left="0" w:leftChars="0" w:right="0" w:right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kern w:val="0"/>
                <w:sz w:val="22"/>
                <w:szCs w:val="22"/>
                <w:lang w:val="en-US" w:eastAsia="en-US" w:bidi="ar-SA"/>
              </w:rPr>
              <w:t>空调机组</w:t>
            </w:r>
          </w:p>
        </w:tc>
        <w:tc>
          <w:tcPr>
            <w:tcW w:w="4545" w:type="dxa"/>
            <w:noWrap w:val="0"/>
            <w:vAlign w:val="center"/>
          </w:tcPr>
          <w:p w14:paraId="14C40FFF">
            <w:pPr>
              <w:keepNext w:val="0"/>
              <w:keepLines w:val="0"/>
              <w:suppressLineNumbers w:val="0"/>
              <w:spacing w:before="0" w:beforeAutospacing="0" w:after="0" w:afterAutospacing="0"/>
              <w:ind w:left="0" w:right="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kern w:val="0"/>
                <w:sz w:val="22"/>
                <w:szCs w:val="22"/>
                <w:lang w:val="en-US" w:eastAsia="zh-CN" w:bidi="ar-SA"/>
              </w:rPr>
              <w:t>1、</w:t>
            </w:r>
            <w:r>
              <w:rPr>
                <w:rFonts w:hint="eastAsia" w:ascii="宋体" w:hAnsi="宋体" w:eastAsia="宋体" w:cs="宋体"/>
                <w:snapToGrid w:val="0"/>
                <w:color w:val="000000"/>
                <w:kern w:val="0"/>
                <w:sz w:val="22"/>
                <w:szCs w:val="22"/>
                <w:lang w:val="en-US" w:eastAsia="en-US" w:bidi="ar-SA"/>
              </w:rPr>
              <w:t>制冷量24KW</w:t>
            </w:r>
          </w:p>
          <w:p w14:paraId="798985B2">
            <w:pPr>
              <w:keepNext w:val="0"/>
              <w:keepLines w:val="0"/>
              <w:suppressLineNumbers w:val="0"/>
              <w:spacing w:before="0" w:beforeAutospacing="0" w:after="0" w:afterAutospacing="0"/>
              <w:ind w:left="0" w:right="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kern w:val="0"/>
                <w:sz w:val="22"/>
                <w:szCs w:val="22"/>
                <w:lang w:val="en-US" w:eastAsia="zh-CN" w:bidi="ar-SA"/>
              </w:rPr>
              <w:t>2、</w:t>
            </w:r>
            <w:r>
              <w:rPr>
                <w:rFonts w:hint="eastAsia" w:ascii="宋体" w:hAnsi="宋体" w:eastAsia="宋体" w:cs="宋体"/>
                <w:snapToGrid w:val="0"/>
                <w:color w:val="000000"/>
                <w:kern w:val="0"/>
                <w:sz w:val="22"/>
                <w:szCs w:val="22"/>
                <w:lang w:val="en-US" w:eastAsia="en-US" w:bidi="ar-SA"/>
              </w:rPr>
              <w:t>制热量23KW</w:t>
            </w:r>
          </w:p>
          <w:p w14:paraId="05CFB945">
            <w:pPr>
              <w:keepNext w:val="0"/>
              <w:keepLines w:val="0"/>
              <w:suppressLineNumbers w:val="0"/>
              <w:spacing w:before="0" w:beforeAutospacing="0" w:after="0" w:afterAutospacing="0"/>
              <w:ind w:left="0" w:right="0"/>
              <w:jc w:val="both"/>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kern w:val="0"/>
                <w:sz w:val="22"/>
                <w:szCs w:val="22"/>
                <w:lang w:val="en-US" w:eastAsia="zh-CN" w:bidi="ar-SA"/>
              </w:rPr>
              <w:t>3、</w:t>
            </w:r>
            <w:r>
              <w:rPr>
                <w:rFonts w:hint="eastAsia" w:ascii="宋体" w:hAnsi="宋体" w:eastAsia="宋体" w:cs="宋体"/>
                <w:snapToGrid w:val="0"/>
                <w:color w:val="000000"/>
                <w:kern w:val="0"/>
                <w:sz w:val="22"/>
                <w:szCs w:val="22"/>
                <w:lang w:val="en-US" w:eastAsia="en-US" w:bidi="ar-SA"/>
              </w:rPr>
              <w:t>加湿量8kg/h</w:t>
            </w:r>
          </w:p>
          <w:p w14:paraId="1A8DA05C">
            <w:pPr>
              <w:keepNext w:val="0"/>
              <w:keepLines w:val="0"/>
              <w:suppressLineNumbers w:val="0"/>
              <w:spacing w:before="0" w:beforeAutospacing="0" w:after="0" w:afterAutospacing="0"/>
              <w:ind w:left="0" w:leftChars="0" w:right="0" w:rightChars="0"/>
              <w:jc w:val="both"/>
              <w:rPr>
                <w:rFonts w:hint="default" w:ascii="宋体" w:hAnsi="宋体" w:eastAsia="宋体" w:cs="宋体"/>
                <w:snapToGrid w:val="0"/>
                <w:color w:val="000000"/>
                <w:kern w:val="0"/>
                <w:sz w:val="22"/>
                <w:szCs w:val="22"/>
                <w:lang w:val="en-US" w:eastAsia="zh-CN" w:bidi="ar-SA"/>
              </w:rPr>
            </w:pPr>
            <w:r>
              <w:rPr>
                <w:rFonts w:hint="eastAsia" w:ascii="宋体" w:hAnsi="宋体" w:eastAsia="宋体" w:cs="宋体"/>
                <w:snapToGrid w:val="0"/>
                <w:color w:val="000000"/>
                <w:kern w:val="0"/>
                <w:sz w:val="22"/>
                <w:szCs w:val="22"/>
                <w:lang w:val="en-US" w:eastAsia="zh-CN" w:bidi="ar-SA"/>
              </w:rPr>
              <w:t>4、</w:t>
            </w:r>
            <w:r>
              <w:rPr>
                <w:rFonts w:hint="eastAsia" w:ascii="宋体" w:hAnsi="宋体" w:eastAsia="宋体" w:cs="宋体"/>
                <w:snapToGrid w:val="0"/>
                <w:color w:val="000000"/>
                <w:kern w:val="0"/>
                <w:sz w:val="22"/>
                <w:szCs w:val="22"/>
                <w:lang w:val="en-US" w:eastAsia="en-US" w:bidi="ar-SA"/>
              </w:rPr>
              <w:t>送风量4000</w:t>
            </w:r>
            <w:r>
              <w:rPr>
                <w:rFonts w:hint="eastAsia" w:ascii="宋体" w:hAnsi="宋体" w:eastAsia="宋体" w:cs="宋体"/>
                <w:snapToGrid w:val="0"/>
                <w:color w:val="000000"/>
                <w:kern w:val="0"/>
                <w:sz w:val="22"/>
                <w:szCs w:val="22"/>
                <w:lang w:val="en-US" w:eastAsia="zh-CN" w:bidi="ar-SA"/>
              </w:rPr>
              <w:t>m³/h</w:t>
            </w:r>
          </w:p>
        </w:tc>
        <w:tc>
          <w:tcPr>
            <w:tcW w:w="995" w:type="dxa"/>
            <w:noWrap w:val="0"/>
            <w:vAlign w:val="center"/>
          </w:tcPr>
          <w:p w14:paraId="086F153A">
            <w:pPr>
              <w:keepNext w:val="0"/>
              <w:keepLines w:val="0"/>
              <w:suppressLineNumbers w:val="0"/>
              <w:spacing w:before="0" w:beforeAutospacing="0" w:after="0" w:afterAutospacing="0"/>
              <w:ind w:left="0" w:right="0"/>
              <w:jc w:val="center"/>
              <w:rPr>
                <w:rFonts w:hint="default" w:ascii="宋体" w:hAnsi="宋体" w:eastAsia="宋体" w:cs="宋体"/>
                <w:snapToGrid w:val="0"/>
                <w:color w:val="000000"/>
                <w:kern w:val="0"/>
                <w:sz w:val="22"/>
                <w:szCs w:val="22"/>
                <w:lang w:val="en-US" w:eastAsia="zh-CN" w:bidi="ar-SA"/>
              </w:rPr>
            </w:pPr>
            <w:r>
              <w:rPr>
                <w:rFonts w:hint="eastAsia" w:ascii="宋体" w:hAnsi="宋体" w:eastAsia="宋体" w:cs="宋体"/>
                <w:snapToGrid w:val="0"/>
                <w:color w:val="000000"/>
                <w:kern w:val="0"/>
                <w:sz w:val="22"/>
                <w:szCs w:val="22"/>
                <w:lang w:val="en-US" w:eastAsia="zh-CN" w:bidi="ar-SA"/>
              </w:rPr>
              <w:t>套</w:t>
            </w:r>
          </w:p>
        </w:tc>
        <w:tc>
          <w:tcPr>
            <w:tcW w:w="1110" w:type="dxa"/>
            <w:noWrap w:val="0"/>
            <w:vAlign w:val="center"/>
          </w:tcPr>
          <w:p w14:paraId="45EDBB7C">
            <w:pPr>
              <w:keepNext w:val="0"/>
              <w:keepLines w:val="0"/>
              <w:suppressLineNumbers w:val="0"/>
              <w:spacing w:before="0" w:beforeAutospacing="0" w:after="0" w:afterAutospacing="0"/>
              <w:ind w:left="0" w:right="0"/>
              <w:jc w:val="center"/>
              <w:rPr>
                <w:rFonts w:hint="default" w:ascii="宋体" w:hAnsi="宋体" w:eastAsia="宋体" w:cs="宋体"/>
                <w:snapToGrid w:val="0"/>
                <w:color w:val="000000"/>
                <w:kern w:val="0"/>
                <w:sz w:val="22"/>
                <w:szCs w:val="22"/>
                <w:lang w:val="en-US" w:eastAsia="zh-CN" w:bidi="ar-SA"/>
              </w:rPr>
            </w:pPr>
            <w:r>
              <w:rPr>
                <w:rFonts w:hint="eastAsia" w:ascii="宋体" w:hAnsi="宋体" w:eastAsia="宋体" w:cs="宋体"/>
                <w:snapToGrid w:val="0"/>
                <w:color w:val="000000"/>
                <w:kern w:val="0"/>
                <w:sz w:val="22"/>
                <w:szCs w:val="22"/>
                <w:lang w:val="en-US" w:eastAsia="zh-CN" w:bidi="ar-SA"/>
              </w:rPr>
              <w:t>1</w:t>
            </w:r>
          </w:p>
        </w:tc>
      </w:tr>
      <w:tr w14:paraId="588E3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jc w:val="center"/>
        </w:trPr>
        <w:tc>
          <w:tcPr>
            <w:tcW w:w="823" w:type="dxa"/>
            <w:noWrap w:val="0"/>
            <w:vAlign w:val="center"/>
          </w:tcPr>
          <w:p w14:paraId="65282E04">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z w:val="22"/>
                <w:szCs w:val="22"/>
                <w:lang w:val="en-US" w:eastAsia="zh"/>
              </w:rPr>
            </w:pPr>
            <w:r>
              <w:rPr>
                <w:rFonts w:hint="eastAsia" w:ascii="宋体" w:hAnsi="宋体" w:cs="宋体"/>
                <w:sz w:val="22"/>
                <w:szCs w:val="22"/>
                <w:lang w:val="en-US" w:eastAsia="zh"/>
              </w:rPr>
              <w:t>26</w:t>
            </w:r>
          </w:p>
        </w:tc>
        <w:tc>
          <w:tcPr>
            <w:tcW w:w="2054" w:type="dxa"/>
            <w:noWrap w:val="0"/>
            <w:vAlign w:val="center"/>
          </w:tcPr>
          <w:p w14:paraId="20F29023">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color w:val="000000"/>
                <w:kern w:val="0"/>
                <w:sz w:val="22"/>
                <w:szCs w:val="22"/>
                <w:lang w:eastAsia="zh"/>
              </w:rPr>
              <w:t>配置</w:t>
            </w:r>
            <w:r>
              <w:rPr>
                <w:rFonts w:hint="eastAsia" w:ascii="宋体" w:hAnsi="宋体" w:eastAsia="宋体" w:cs="宋体"/>
                <w:color w:val="000000"/>
                <w:kern w:val="0"/>
                <w:sz w:val="22"/>
                <w:szCs w:val="22"/>
              </w:rPr>
              <w:t>可视对讲系统</w:t>
            </w:r>
          </w:p>
        </w:tc>
        <w:tc>
          <w:tcPr>
            <w:tcW w:w="4545" w:type="dxa"/>
            <w:noWrap w:val="0"/>
            <w:vAlign w:val="center"/>
          </w:tcPr>
          <w:p w14:paraId="7665C949">
            <w:pPr>
              <w:keepNext w:val="0"/>
              <w:keepLines w:val="0"/>
              <w:widowControl w:val="0"/>
              <w:suppressLineNumbers w:val="0"/>
              <w:spacing w:before="0" w:beforeAutospacing="0" w:after="0" w:afterAutospacing="0"/>
              <w:ind w:left="0" w:right="0"/>
              <w:jc w:val="both"/>
              <w:rPr>
                <w:rFonts w:hint="eastAsia" w:ascii="宋体" w:hAnsi="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1,分辨率800*480</w:t>
            </w:r>
          </w:p>
          <w:p w14:paraId="6465E51F">
            <w:pPr>
              <w:keepNext w:val="0"/>
              <w:keepLines w:val="0"/>
              <w:widowControl w:val="0"/>
              <w:suppressLineNumbers w:val="0"/>
              <w:spacing w:before="0" w:beforeAutospacing="0" w:after="0" w:afterAutospacing="0"/>
              <w:ind w:left="0" w:leftChars="0" w:right="0" w:rightChars="0"/>
              <w:jc w:val="both"/>
              <w:rPr>
                <w:rFonts w:hint="default" w:ascii="宋体" w:hAnsi="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2，操作方式：实体按键</w:t>
            </w:r>
          </w:p>
        </w:tc>
        <w:tc>
          <w:tcPr>
            <w:tcW w:w="995" w:type="dxa"/>
            <w:noWrap w:val="0"/>
            <w:vAlign w:val="center"/>
          </w:tcPr>
          <w:p w14:paraId="59EE7456">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套</w:t>
            </w:r>
          </w:p>
        </w:tc>
        <w:tc>
          <w:tcPr>
            <w:tcW w:w="1110" w:type="dxa"/>
            <w:noWrap w:val="0"/>
            <w:vAlign w:val="center"/>
          </w:tcPr>
          <w:p w14:paraId="0A1CEFBB">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1</w:t>
            </w:r>
          </w:p>
        </w:tc>
      </w:tr>
      <w:tr w14:paraId="2C1A9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823" w:type="dxa"/>
            <w:noWrap w:val="0"/>
            <w:vAlign w:val="center"/>
          </w:tcPr>
          <w:p w14:paraId="419F3E76">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z w:val="22"/>
                <w:szCs w:val="22"/>
                <w:lang w:val="en-US" w:eastAsia="zh-CN"/>
              </w:rPr>
            </w:pPr>
            <w:r>
              <w:rPr>
                <w:rFonts w:hint="eastAsia" w:ascii="宋体" w:hAnsi="宋体" w:cs="宋体"/>
                <w:sz w:val="22"/>
                <w:szCs w:val="22"/>
                <w:lang w:val="en-US" w:eastAsia="zh"/>
              </w:rPr>
              <w:t>2</w:t>
            </w:r>
            <w:r>
              <w:rPr>
                <w:rFonts w:hint="eastAsia" w:ascii="宋体" w:hAnsi="宋体" w:cs="宋体"/>
                <w:sz w:val="22"/>
                <w:szCs w:val="22"/>
                <w:lang w:val="en-US" w:eastAsia="zh-CN"/>
              </w:rPr>
              <w:t>7</w:t>
            </w:r>
          </w:p>
        </w:tc>
        <w:tc>
          <w:tcPr>
            <w:tcW w:w="2054" w:type="dxa"/>
            <w:noWrap w:val="0"/>
            <w:vAlign w:val="center"/>
          </w:tcPr>
          <w:p w14:paraId="438B9C38">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color w:val="000000"/>
                <w:kern w:val="0"/>
                <w:sz w:val="22"/>
                <w:szCs w:val="22"/>
              </w:rPr>
              <w:t>建设主要材料</w:t>
            </w:r>
          </w:p>
        </w:tc>
        <w:tc>
          <w:tcPr>
            <w:tcW w:w="4545" w:type="dxa"/>
            <w:noWrap w:val="0"/>
            <w:vAlign w:val="center"/>
          </w:tcPr>
          <w:p w14:paraId="78C8FC99">
            <w:pPr>
              <w:keepNext w:val="0"/>
              <w:keepLines w:val="0"/>
              <w:widowControl w:val="0"/>
              <w:suppressLineNumbers w:val="0"/>
              <w:spacing w:before="0" w:beforeAutospacing="0" w:after="0" w:afterAutospacing="0"/>
              <w:ind w:left="0" w:leftChars="0" w:right="0" w:rightChars="0"/>
              <w:jc w:val="both"/>
              <w:rPr>
                <w:rFonts w:hint="default" w:ascii="宋体" w:hAnsi="宋体" w:eastAsia="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中空玻镁净化板50mm</w:t>
            </w:r>
          </w:p>
        </w:tc>
        <w:tc>
          <w:tcPr>
            <w:tcW w:w="995" w:type="dxa"/>
            <w:noWrap w:val="0"/>
            <w:vAlign w:val="center"/>
          </w:tcPr>
          <w:p w14:paraId="7E104F21">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CN" w:bidi="ar-SA"/>
              </w:rPr>
            </w:pPr>
            <w:r>
              <w:rPr>
                <w:rFonts w:hint="eastAsia" w:ascii="宋体" w:hAnsi="宋体" w:eastAsia="宋体" w:cs="宋体"/>
                <w:sz w:val="22"/>
                <w:szCs w:val="22"/>
              </w:rPr>
              <w:t>m2</w:t>
            </w:r>
          </w:p>
        </w:tc>
        <w:tc>
          <w:tcPr>
            <w:tcW w:w="1110" w:type="dxa"/>
            <w:noWrap w:val="0"/>
            <w:vAlign w:val="center"/>
          </w:tcPr>
          <w:p w14:paraId="6485304D">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60</w:t>
            </w:r>
          </w:p>
        </w:tc>
      </w:tr>
      <w:tr w14:paraId="5EEB8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jc w:val="center"/>
        </w:trPr>
        <w:tc>
          <w:tcPr>
            <w:tcW w:w="823" w:type="dxa"/>
            <w:noWrap w:val="0"/>
            <w:vAlign w:val="center"/>
          </w:tcPr>
          <w:p w14:paraId="7C471D74">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28</w:t>
            </w:r>
          </w:p>
        </w:tc>
        <w:tc>
          <w:tcPr>
            <w:tcW w:w="2054" w:type="dxa"/>
            <w:noWrap w:val="0"/>
            <w:vAlign w:val="center"/>
          </w:tcPr>
          <w:p w14:paraId="2AFC7024">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color w:val="000000"/>
                <w:kern w:val="0"/>
                <w:sz w:val="22"/>
                <w:szCs w:val="22"/>
              </w:rPr>
              <w:t>洁具</w:t>
            </w:r>
          </w:p>
        </w:tc>
        <w:tc>
          <w:tcPr>
            <w:tcW w:w="4545" w:type="dxa"/>
            <w:noWrap w:val="0"/>
            <w:vAlign w:val="center"/>
          </w:tcPr>
          <w:p w14:paraId="6ADFC81A">
            <w:pPr>
              <w:keepNext w:val="0"/>
              <w:keepLines w:val="0"/>
              <w:widowControl w:val="0"/>
              <w:numPr>
                <w:ilvl w:val="0"/>
                <w:numId w:val="5"/>
              </w:numPr>
              <w:suppressLineNumbers w:val="0"/>
              <w:spacing w:before="0" w:beforeAutospacing="0" w:after="0" w:afterAutospacing="0"/>
              <w:ind w:left="0" w:right="0"/>
              <w:jc w:val="both"/>
              <w:rPr>
                <w:rFonts w:hint="eastAsia" w:ascii="宋体" w:hAnsi="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材质陶瓷</w:t>
            </w:r>
          </w:p>
          <w:p w14:paraId="63734E5A">
            <w:pPr>
              <w:keepNext w:val="0"/>
              <w:keepLines w:val="0"/>
              <w:widowControl w:val="0"/>
              <w:numPr>
                <w:ilvl w:val="0"/>
                <w:numId w:val="5"/>
              </w:numPr>
              <w:suppressLineNumbers w:val="0"/>
              <w:spacing w:before="0" w:beforeAutospacing="0" w:after="0" w:afterAutospacing="0"/>
              <w:ind w:left="0" w:leftChars="0" w:right="0" w:rightChars="0"/>
              <w:jc w:val="both"/>
              <w:rPr>
                <w:rFonts w:hint="default" w:ascii="宋体" w:hAnsi="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型号规格：400*350*150mm</w:t>
            </w:r>
          </w:p>
        </w:tc>
        <w:tc>
          <w:tcPr>
            <w:tcW w:w="995" w:type="dxa"/>
            <w:noWrap w:val="0"/>
            <w:vAlign w:val="center"/>
          </w:tcPr>
          <w:p w14:paraId="5194F928">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 w:bidi="ar-SA"/>
              </w:rPr>
              <w:t>套</w:t>
            </w:r>
          </w:p>
        </w:tc>
        <w:tc>
          <w:tcPr>
            <w:tcW w:w="1110" w:type="dxa"/>
            <w:noWrap w:val="0"/>
            <w:vAlign w:val="center"/>
          </w:tcPr>
          <w:p w14:paraId="412E761D">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1</w:t>
            </w:r>
          </w:p>
        </w:tc>
      </w:tr>
      <w:tr w14:paraId="7F597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jc w:val="center"/>
        </w:trPr>
        <w:tc>
          <w:tcPr>
            <w:tcW w:w="823" w:type="dxa"/>
            <w:noWrap w:val="0"/>
            <w:vAlign w:val="center"/>
          </w:tcPr>
          <w:p w14:paraId="52F83DDC">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29</w:t>
            </w:r>
          </w:p>
        </w:tc>
        <w:tc>
          <w:tcPr>
            <w:tcW w:w="2054" w:type="dxa"/>
            <w:noWrap w:val="0"/>
            <w:vAlign w:val="center"/>
          </w:tcPr>
          <w:p w14:paraId="046C43FE">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color w:val="000000"/>
                <w:kern w:val="0"/>
                <w:sz w:val="22"/>
                <w:szCs w:val="22"/>
              </w:rPr>
              <w:t>灯具</w:t>
            </w:r>
          </w:p>
        </w:tc>
        <w:tc>
          <w:tcPr>
            <w:tcW w:w="4545" w:type="dxa"/>
            <w:noWrap w:val="0"/>
            <w:vAlign w:val="center"/>
          </w:tcPr>
          <w:p w14:paraId="29426A03">
            <w:pPr>
              <w:keepNext w:val="0"/>
              <w:keepLines w:val="0"/>
              <w:widowControl w:val="0"/>
              <w:suppressLineNumbers w:val="0"/>
              <w:spacing w:before="0" w:beforeAutospacing="0" w:after="0" w:afterAutospacing="0"/>
              <w:ind w:left="0" w:leftChars="0" w:right="0" w:rightChars="0"/>
              <w:jc w:val="both"/>
              <w:rPr>
                <w:rFonts w:hint="default" w:ascii="宋体" w:hAnsi="宋体" w:eastAsia="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LED，48w，直径45cm</w:t>
            </w:r>
          </w:p>
        </w:tc>
        <w:tc>
          <w:tcPr>
            <w:tcW w:w="995" w:type="dxa"/>
            <w:noWrap w:val="0"/>
            <w:vAlign w:val="center"/>
          </w:tcPr>
          <w:p w14:paraId="0EB898F9">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套</w:t>
            </w:r>
          </w:p>
        </w:tc>
        <w:tc>
          <w:tcPr>
            <w:tcW w:w="1110" w:type="dxa"/>
            <w:noWrap w:val="0"/>
            <w:vAlign w:val="center"/>
          </w:tcPr>
          <w:p w14:paraId="77F6104C">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1</w:t>
            </w:r>
          </w:p>
        </w:tc>
      </w:tr>
      <w:tr w14:paraId="246DC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23" w:type="dxa"/>
            <w:noWrap w:val="0"/>
            <w:vAlign w:val="center"/>
          </w:tcPr>
          <w:p w14:paraId="6636C20A">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z w:val="22"/>
                <w:szCs w:val="22"/>
                <w:lang w:val="en-US" w:eastAsia="zh-CN"/>
              </w:rPr>
            </w:pPr>
            <w:r>
              <w:rPr>
                <w:rFonts w:hint="eastAsia" w:ascii="宋体" w:hAnsi="宋体" w:cs="宋体"/>
                <w:sz w:val="22"/>
                <w:szCs w:val="22"/>
                <w:lang w:val="en-US" w:eastAsia="zh"/>
              </w:rPr>
              <w:t>3</w:t>
            </w:r>
            <w:r>
              <w:rPr>
                <w:rFonts w:hint="eastAsia" w:ascii="宋体" w:hAnsi="宋体" w:cs="宋体"/>
                <w:sz w:val="22"/>
                <w:szCs w:val="22"/>
                <w:lang w:val="en-US" w:eastAsia="zh-CN"/>
              </w:rPr>
              <w:t>0</w:t>
            </w:r>
          </w:p>
        </w:tc>
        <w:tc>
          <w:tcPr>
            <w:tcW w:w="2054" w:type="dxa"/>
            <w:noWrap w:val="0"/>
            <w:vAlign w:val="center"/>
          </w:tcPr>
          <w:p w14:paraId="0F8FA938">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2"/>
                <w:szCs w:val="22"/>
                <w:lang w:eastAsia="zh"/>
              </w:rPr>
            </w:pPr>
            <w:r>
              <w:rPr>
                <w:rFonts w:hint="eastAsia" w:ascii="宋体" w:hAnsi="宋体" w:eastAsia="宋体" w:cs="宋体"/>
                <w:color w:val="000000"/>
                <w:kern w:val="0"/>
                <w:sz w:val="22"/>
                <w:szCs w:val="22"/>
                <w:lang w:eastAsia="zh"/>
              </w:rPr>
              <w:t>空气开关</w:t>
            </w:r>
          </w:p>
        </w:tc>
        <w:tc>
          <w:tcPr>
            <w:tcW w:w="4545" w:type="dxa"/>
            <w:noWrap w:val="0"/>
            <w:vAlign w:val="center"/>
          </w:tcPr>
          <w:p w14:paraId="2C6E96AB">
            <w:pPr>
              <w:keepNext w:val="0"/>
              <w:keepLines w:val="0"/>
              <w:widowControl w:val="0"/>
              <w:suppressLineNumbers w:val="0"/>
              <w:spacing w:before="0" w:beforeAutospacing="0" w:after="0" w:afterAutospacing="0"/>
              <w:ind w:left="0" w:leftChars="0" w:right="0" w:rightChars="0"/>
              <w:jc w:val="both"/>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1P+N,10A</w:t>
            </w:r>
          </w:p>
        </w:tc>
        <w:tc>
          <w:tcPr>
            <w:tcW w:w="995" w:type="dxa"/>
            <w:noWrap w:val="0"/>
            <w:vAlign w:val="center"/>
          </w:tcPr>
          <w:p w14:paraId="344867E0">
            <w:pPr>
              <w:keepNext w:val="0"/>
              <w:keepLines w:val="0"/>
              <w:suppressLineNumbers w:val="0"/>
              <w:spacing w:before="0" w:beforeAutospacing="0" w:after="0" w:afterAutospacing="0"/>
              <w:ind w:left="0" w:leftChars="0" w:right="0" w:firstLine="0" w:firstLineChars="0"/>
              <w:jc w:val="center"/>
              <w:rPr>
                <w:rFonts w:hint="eastAsia" w:ascii="宋体" w:hAnsi="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个</w:t>
            </w:r>
          </w:p>
        </w:tc>
        <w:tc>
          <w:tcPr>
            <w:tcW w:w="1110" w:type="dxa"/>
            <w:noWrap w:val="0"/>
            <w:vAlign w:val="center"/>
          </w:tcPr>
          <w:p w14:paraId="5540F627">
            <w:pPr>
              <w:keepNext w:val="0"/>
              <w:keepLines w:val="0"/>
              <w:suppressLineNumbers w:val="0"/>
              <w:spacing w:before="0" w:beforeAutospacing="0" w:after="0" w:afterAutospacing="0"/>
              <w:ind w:left="0" w:leftChars="0" w:right="0" w:firstLine="0" w:firstLineChars="0"/>
              <w:jc w:val="center"/>
              <w:rPr>
                <w:rFonts w:hint="eastAsia" w:ascii="宋体" w:hAnsi="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10</w:t>
            </w:r>
          </w:p>
        </w:tc>
      </w:tr>
      <w:tr w14:paraId="0EB67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jc w:val="center"/>
        </w:trPr>
        <w:tc>
          <w:tcPr>
            <w:tcW w:w="823" w:type="dxa"/>
            <w:noWrap w:val="0"/>
            <w:vAlign w:val="center"/>
          </w:tcPr>
          <w:p w14:paraId="615022E9">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z w:val="22"/>
                <w:szCs w:val="22"/>
                <w:lang w:val="en-US" w:eastAsia="zh-CN"/>
              </w:rPr>
            </w:pPr>
            <w:r>
              <w:rPr>
                <w:rFonts w:hint="eastAsia" w:ascii="宋体" w:hAnsi="宋体" w:cs="宋体"/>
                <w:sz w:val="22"/>
                <w:szCs w:val="22"/>
                <w:lang w:val="en-US" w:eastAsia="zh"/>
              </w:rPr>
              <w:t>3</w:t>
            </w:r>
            <w:r>
              <w:rPr>
                <w:rFonts w:hint="eastAsia" w:ascii="宋体" w:hAnsi="宋体" w:cs="宋体"/>
                <w:sz w:val="22"/>
                <w:szCs w:val="22"/>
                <w:lang w:val="en-US" w:eastAsia="zh-CN"/>
              </w:rPr>
              <w:t>1</w:t>
            </w:r>
          </w:p>
        </w:tc>
        <w:tc>
          <w:tcPr>
            <w:tcW w:w="2054" w:type="dxa"/>
            <w:noWrap w:val="0"/>
            <w:vAlign w:val="center"/>
          </w:tcPr>
          <w:p w14:paraId="6231D813">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2"/>
                <w:szCs w:val="22"/>
                <w:lang w:eastAsia="zh"/>
              </w:rPr>
            </w:pPr>
            <w:r>
              <w:rPr>
                <w:rFonts w:hint="eastAsia" w:ascii="宋体" w:hAnsi="宋体" w:eastAsia="宋体" w:cs="宋体"/>
                <w:color w:val="000000"/>
                <w:kern w:val="0"/>
                <w:sz w:val="22"/>
                <w:szCs w:val="22"/>
                <w:lang w:val="en-US" w:eastAsia="zh-CN"/>
              </w:rPr>
              <w:t>监控系统</w:t>
            </w:r>
          </w:p>
        </w:tc>
        <w:tc>
          <w:tcPr>
            <w:tcW w:w="4545" w:type="dxa"/>
            <w:noWrap w:val="0"/>
            <w:vAlign w:val="center"/>
          </w:tcPr>
          <w:p w14:paraId="179395C1">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2"/>
                <w:szCs w:val="22"/>
                <w:lang w:val="en-US" w:eastAsia="zh" w:bidi="ar"/>
              </w:rPr>
            </w:pPr>
            <w:r>
              <w:rPr>
                <w:rFonts w:hint="eastAsia" w:ascii="宋体" w:hAnsi="宋体" w:eastAsia="宋体" w:cs="宋体"/>
                <w:color w:val="000000"/>
                <w:kern w:val="0"/>
                <w:sz w:val="22"/>
                <w:szCs w:val="22"/>
                <w:lang w:val="en-US" w:eastAsia="zh" w:bidi="ar"/>
              </w:rPr>
              <w:t>1、可同时输入并录制≥8 路视频信号；</w:t>
            </w:r>
          </w:p>
          <w:p w14:paraId="42774407">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2"/>
                <w:szCs w:val="22"/>
                <w:lang w:val="en-US" w:eastAsia="zh" w:bidi="ar"/>
              </w:rPr>
            </w:pPr>
            <w:r>
              <w:rPr>
                <w:rFonts w:hint="eastAsia" w:ascii="宋体" w:hAnsi="宋体" w:eastAsia="宋体" w:cs="宋体"/>
                <w:color w:val="000000"/>
                <w:kern w:val="0"/>
                <w:sz w:val="22"/>
                <w:szCs w:val="22"/>
                <w:lang w:val="en-US" w:eastAsia="zh" w:bidi="ar"/>
              </w:rPr>
              <w:t>2、彩色液晶显示屏≥32 英寸；</w:t>
            </w:r>
          </w:p>
          <w:p w14:paraId="14CF7631">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2"/>
                <w:szCs w:val="22"/>
                <w:lang w:val="en-US" w:eastAsia="zh" w:bidi="ar"/>
              </w:rPr>
            </w:pPr>
            <w:r>
              <w:rPr>
                <w:rFonts w:hint="eastAsia" w:ascii="宋体" w:hAnsi="宋体" w:eastAsia="宋体" w:cs="宋体"/>
                <w:color w:val="000000"/>
                <w:kern w:val="0"/>
                <w:sz w:val="22"/>
                <w:szCs w:val="22"/>
                <w:lang w:val="en-US" w:eastAsia="zh" w:bidi="ar"/>
              </w:rPr>
              <w:t>3、硬盘容量≥2TB；</w:t>
            </w:r>
          </w:p>
          <w:p w14:paraId="51D54665">
            <w:pPr>
              <w:keepNext w:val="0"/>
              <w:keepLines w:val="0"/>
              <w:widowControl/>
              <w:suppressLineNumbers w:val="0"/>
              <w:spacing w:before="0" w:beforeAutospacing="0" w:after="0" w:afterAutospacing="0"/>
              <w:ind w:left="0" w:leftChars="0" w:right="0" w:rightChars="0" w:firstLine="0" w:firstLineChars="0"/>
              <w:jc w:val="left"/>
              <w:rPr>
                <w:rFonts w:hint="eastAsia" w:ascii="宋体" w:hAnsi="宋体" w:eastAsia="宋体" w:cs="宋体"/>
                <w:color w:val="000000"/>
                <w:kern w:val="0"/>
                <w:sz w:val="22"/>
                <w:szCs w:val="22"/>
                <w:lang w:val="en-US" w:eastAsia="zh" w:bidi="ar"/>
              </w:rPr>
            </w:pPr>
            <w:r>
              <w:rPr>
                <w:rFonts w:hint="eastAsia" w:ascii="宋体" w:hAnsi="宋体" w:eastAsia="宋体" w:cs="宋体"/>
                <w:color w:val="000000"/>
                <w:kern w:val="0"/>
                <w:sz w:val="22"/>
                <w:szCs w:val="22"/>
                <w:lang w:val="en-US" w:eastAsia="zh" w:bidi="ar"/>
              </w:rPr>
              <w:t>4、摄像头分辨</w:t>
            </w:r>
            <w:bookmarkStart w:id="193" w:name="_GoBack"/>
            <w:bookmarkEnd w:id="193"/>
            <w:r>
              <w:rPr>
                <w:rFonts w:hint="eastAsia" w:ascii="宋体" w:hAnsi="宋体" w:eastAsia="宋体" w:cs="宋体"/>
                <w:color w:val="000000"/>
                <w:kern w:val="0"/>
                <w:sz w:val="22"/>
                <w:szCs w:val="22"/>
                <w:lang w:val="en-US" w:eastAsia="zh" w:bidi="ar"/>
              </w:rPr>
              <w:t>率≥400万像素。</w:t>
            </w:r>
          </w:p>
        </w:tc>
        <w:tc>
          <w:tcPr>
            <w:tcW w:w="995" w:type="dxa"/>
            <w:noWrap w:val="0"/>
            <w:vAlign w:val="center"/>
          </w:tcPr>
          <w:p w14:paraId="65C1B317">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snapToGrid w:val="0"/>
                <w:color w:val="000000"/>
                <w:kern w:val="0"/>
                <w:sz w:val="22"/>
                <w:szCs w:val="22"/>
                <w:lang w:val="en-US" w:eastAsia="zh-CN" w:bidi="ar-SA"/>
              </w:rPr>
            </w:pPr>
            <w:r>
              <w:rPr>
                <w:rFonts w:hint="eastAsia" w:ascii="宋体" w:hAnsi="宋体" w:cs="宋体"/>
                <w:snapToGrid w:val="0"/>
                <w:color w:val="000000"/>
                <w:kern w:val="0"/>
                <w:sz w:val="22"/>
                <w:szCs w:val="22"/>
                <w:lang w:val="en-US" w:eastAsia="zh-CN" w:bidi="ar-SA"/>
              </w:rPr>
              <w:t>套</w:t>
            </w:r>
          </w:p>
        </w:tc>
        <w:tc>
          <w:tcPr>
            <w:tcW w:w="1110" w:type="dxa"/>
            <w:noWrap w:val="0"/>
            <w:vAlign w:val="center"/>
          </w:tcPr>
          <w:p w14:paraId="292EEFD1">
            <w:pPr>
              <w:keepNext w:val="0"/>
              <w:keepLines w:val="0"/>
              <w:suppressLineNumbers w:val="0"/>
              <w:spacing w:before="0" w:beforeAutospacing="0" w:after="0" w:afterAutospacing="0"/>
              <w:ind w:left="0" w:leftChars="0" w:right="0" w:firstLine="0" w:firstLineChars="0"/>
              <w:jc w:val="center"/>
              <w:rPr>
                <w:rFonts w:hint="eastAsia" w:ascii="宋体" w:hAnsi="宋体" w:cs="宋体"/>
                <w:snapToGrid w:val="0"/>
                <w:color w:val="000000"/>
                <w:kern w:val="0"/>
                <w:sz w:val="22"/>
                <w:szCs w:val="22"/>
                <w:lang w:val="en-US" w:eastAsia="zh" w:bidi="ar-SA"/>
              </w:rPr>
            </w:pPr>
            <w:r>
              <w:rPr>
                <w:rFonts w:hint="eastAsia" w:ascii="宋体" w:hAnsi="宋体" w:cs="宋体"/>
                <w:snapToGrid w:val="0"/>
                <w:color w:val="000000"/>
                <w:kern w:val="0"/>
                <w:sz w:val="22"/>
                <w:szCs w:val="22"/>
                <w:lang w:val="en-US" w:eastAsia="zh" w:bidi="ar-SA"/>
              </w:rPr>
              <w:t>1</w:t>
            </w:r>
          </w:p>
        </w:tc>
      </w:tr>
      <w:tr w14:paraId="186E8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jc w:val="center"/>
        </w:trPr>
        <w:tc>
          <w:tcPr>
            <w:tcW w:w="823" w:type="dxa"/>
            <w:noWrap w:val="0"/>
            <w:vAlign w:val="center"/>
          </w:tcPr>
          <w:p w14:paraId="791C991E">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w:t>
            </w:r>
          </w:p>
        </w:tc>
        <w:tc>
          <w:tcPr>
            <w:tcW w:w="2054" w:type="dxa"/>
            <w:noWrap w:val="0"/>
            <w:vAlign w:val="center"/>
          </w:tcPr>
          <w:p w14:paraId="58382CB7">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新风净化机</w:t>
            </w:r>
          </w:p>
        </w:tc>
        <w:tc>
          <w:tcPr>
            <w:tcW w:w="4545" w:type="dxa"/>
            <w:noWrap w:val="0"/>
            <w:vAlign w:val="center"/>
          </w:tcPr>
          <w:p w14:paraId="42539EF4">
            <w:pPr>
              <w:keepNext w:val="0"/>
              <w:keepLines w:val="0"/>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新风量：8000m3/h；</w:t>
            </w:r>
          </w:p>
          <w:p w14:paraId="655393A1">
            <w:pPr>
              <w:keepNext w:val="0"/>
              <w:keepLines w:val="0"/>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带初效、高效过滤器；</w:t>
            </w:r>
          </w:p>
          <w:p w14:paraId="42DE110F">
            <w:pPr>
              <w:keepNext w:val="0"/>
              <w:keepLines w:val="0"/>
              <w:suppressLineNumbers w:val="0"/>
              <w:spacing w:before="0" w:beforeAutospacing="0" w:after="0" w:afterAutospacing="0"/>
              <w:ind w:left="0" w:leftChars="0" w:right="0" w:rightChars="0" w:firstLine="0" w:firstLineChars="0"/>
              <w:jc w:val="left"/>
              <w:rPr>
                <w:rFonts w:hint="eastAsia" w:ascii="宋体" w:hAnsi="宋体" w:eastAsia="宋体" w:cs="宋体"/>
                <w:color w:val="000000"/>
                <w:kern w:val="0"/>
                <w:sz w:val="22"/>
                <w:szCs w:val="22"/>
                <w:lang w:val="en-US" w:eastAsia="zh"/>
              </w:rPr>
            </w:pPr>
            <w:r>
              <w:rPr>
                <w:rFonts w:hint="eastAsia" w:ascii="宋体" w:hAnsi="宋体" w:eastAsia="宋体" w:cs="宋体"/>
                <w:color w:val="000000"/>
                <w:kern w:val="0"/>
                <w:sz w:val="22"/>
                <w:szCs w:val="22"/>
                <w:lang w:val="en-US" w:eastAsia="zh-CN"/>
              </w:rPr>
              <w:t>双向流全热交换。</w:t>
            </w:r>
          </w:p>
        </w:tc>
        <w:tc>
          <w:tcPr>
            <w:tcW w:w="995" w:type="dxa"/>
            <w:noWrap w:val="0"/>
            <w:vAlign w:val="center"/>
          </w:tcPr>
          <w:p w14:paraId="2B06D240">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台</w:t>
            </w:r>
          </w:p>
        </w:tc>
        <w:tc>
          <w:tcPr>
            <w:tcW w:w="1110" w:type="dxa"/>
            <w:noWrap w:val="0"/>
            <w:vAlign w:val="center"/>
          </w:tcPr>
          <w:p w14:paraId="59FFCA2C">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2"/>
                <w:szCs w:val="22"/>
                <w:lang w:val="en-US" w:eastAsia="zh"/>
              </w:rPr>
            </w:pPr>
            <w:r>
              <w:rPr>
                <w:rFonts w:hint="eastAsia" w:ascii="宋体" w:hAnsi="宋体" w:eastAsia="宋体" w:cs="宋体"/>
                <w:color w:val="000000"/>
                <w:kern w:val="0"/>
                <w:sz w:val="22"/>
                <w:szCs w:val="22"/>
                <w:lang w:val="en-US" w:eastAsia="zh"/>
              </w:rPr>
              <w:t>1</w:t>
            </w:r>
          </w:p>
        </w:tc>
      </w:tr>
      <w:tr w14:paraId="51C93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823" w:type="dxa"/>
            <w:noWrap w:val="0"/>
            <w:vAlign w:val="center"/>
          </w:tcPr>
          <w:p w14:paraId="683C486A">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33</w:t>
            </w:r>
          </w:p>
        </w:tc>
        <w:tc>
          <w:tcPr>
            <w:tcW w:w="2054" w:type="dxa"/>
            <w:noWrap w:val="0"/>
            <w:vAlign w:val="center"/>
          </w:tcPr>
          <w:p w14:paraId="66C51A88">
            <w:pPr>
              <w:keepNext w:val="0"/>
              <w:keepLines w:val="0"/>
              <w:suppressLineNumbers w:val="0"/>
              <w:spacing w:before="0" w:beforeAutospacing="0" w:after="0" w:afterAutospacing="0"/>
              <w:ind w:left="0" w:leftChars="0" w:right="0" w:rightChars="0" w:firstLine="0" w:firstLineChars="0"/>
              <w:jc w:val="center"/>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风淋系统</w:t>
            </w:r>
          </w:p>
        </w:tc>
        <w:tc>
          <w:tcPr>
            <w:tcW w:w="4545" w:type="dxa"/>
            <w:noWrap w:val="0"/>
            <w:vAlign w:val="center"/>
          </w:tcPr>
          <w:p w14:paraId="2755B30C">
            <w:pPr>
              <w:keepNext/>
              <w:snapToGrid w:val="0"/>
              <w:ind w:left="0" w:leftChars="0" w:right="0" w:rightChars="0" w:firstLine="0" w:firstLineChars="0"/>
              <w:jc w:val="left"/>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尺寸：1200*1200*2180</w:t>
            </w:r>
          </w:p>
          <w:p w14:paraId="53FA0F78">
            <w:pPr>
              <w:keepNext w:val="0"/>
              <w:keepLines w:val="0"/>
              <w:suppressLineNumbers w:val="0"/>
              <w:spacing w:before="0" w:beforeAutospacing="0" w:after="0" w:afterAutospacing="0"/>
              <w:ind w:left="0" w:leftChars="0" w:right="0" w:rightChars="0" w:firstLine="0" w:firstLineChars="0"/>
              <w:jc w:val="left"/>
              <w:rPr>
                <w:rFonts w:hint="default" w:ascii="宋体" w:hAnsi="宋体" w:eastAsia="宋体" w:cs="宋体"/>
                <w:color w:val="000000"/>
                <w:kern w:val="0"/>
                <w:sz w:val="22"/>
                <w:szCs w:val="22"/>
                <w:lang w:val="en-US" w:eastAsia="zh-CN"/>
              </w:rPr>
            </w:pPr>
            <w:r>
              <w:rPr>
                <w:rFonts w:hint="eastAsia" w:ascii="宋体" w:hAnsi="宋体" w:eastAsia="宋体" w:cs="宋体"/>
                <w:sz w:val="24"/>
                <w:szCs w:val="32"/>
                <w:vertAlign w:val="baseline"/>
                <w:lang w:val="en-US" w:eastAsia="zh-CN"/>
              </w:rPr>
              <w:t>循环风量：800立方米/小时</w:t>
            </w:r>
          </w:p>
        </w:tc>
        <w:tc>
          <w:tcPr>
            <w:tcW w:w="995" w:type="dxa"/>
            <w:noWrap w:val="0"/>
            <w:vAlign w:val="center"/>
          </w:tcPr>
          <w:p w14:paraId="56033E75">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套</w:t>
            </w:r>
          </w:p>
        </w:tc>
        <w:tc>
          <w:tcPr>
            <w:tcW w:w="1110" w:type="dxa"/>
            <w:noWrap w:val="0"/>
            <w:vAlign w:val="center"/>
          </w:tcPr>
          <w:p w14:paraId="3C7D4DCD">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r>
      <w:tr w14:paraId="1BDA1F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823" w:type="dxa"/>
            <w:noWrap w:val="0"/>
            <w:vAlign w:val="center"/>
          </w:tcPr>
          <w:p w14:paraId="36547F91">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34</w:t>
            </w:r>
          </w:p>
        </w:tc>
        <w:tc>
          <w:tcPr>
            <w:tcW w:w="2054" w:type="dxa"/>
            <w:noWrap w:val="0"/>
            <w:vAlign w:val="center"/>
          </w:tcPr>
          <w:p w14:paraId="1CF04138">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病床</w:t>
            </w:r>
          </w:p>
        </w:tc>
        <w:tc>
          <w:tcPr>
            <w:tcW w:w="4545" w:type="dxa"/>
            <w:noWrap w:val="0"/>
            <w:vAlign w:val="center"/>
          </w:tcPr>
          <w:p w14:paraId="7CA3FF8F">
            <w:pPr>
              <w:keepNext w:val="0"/>
              <w:keepLines w:val="0"/>
              <w:suppressLineNumbers w:val="0"/>
              <w:spacing w:before="0" w:beforeAutospacing="0" w:after="0" w:afterAutospacing="0"/>
              <w:ind w:left="0" w:leftChars="0" w:right="0" w:firstLine="0" w:firstLineChars="0"/>
              <w:jc w:val="left"/>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1,1000*2000mm</w:t>
            </w:r>
          </w:p>
          <w:p w14:paraId="31E324C1">
            <w:pPr>
              <w:keepNext w:val="0"/>
              <w:keepLines w:val="0"/>
              <w:suppressLineNumbers w:val="0"/>
              <w:spacing w:before="0" w:beforeAutospacing="0" w:after="0" w:afterAutospacing="0"/>
              <w:ind w:left="0" w:leftChars="0" w:right="0" w:rightChars="0" w:firstLine="0" w:firstLineChars="0"/>
              <w:jc w:val="left"/>
              <w:rPr>
                <w:rFonts w:hint="eastAsia" w:ascii="宋体" w:hAnsi="宋体" w:eastAsia="宋体" w:cs="宋体"/>
                <w:sz w:val="24"/>
                <w:szCs w:val="32"/>
                <w:vertAlign w:val="baseline"/>
                <w:lang w:val="en-US" w:eastAsia="zh-CN"/>
              </w:rPr>
            </w:pPr>
            <w:r>
              <w:rPr>
                <w:rFonts w:hint="eastAsia" w:ascii="宋体" w:hAnsi="宋体" w:eastAsia="宋体" w:cs="宋体"/>
                <w:color w:val="000000"/>
                <w:kern w:val="0"/>
                <w:sz w:val="22"/>
                <w:szCs w:val="22"/>
                <w:lang w:val="en-US" w:eastAsia="zh-CN"/>
              </w:rPr>
              <w:t>2,手动摇起</w:t>
            </w:r>
          </w:p>
        </w:tc>
        <w:tc>
          <w:tcPr>
            <w:tcW w:w="995" w:type="dxa"/>
            <w:noWrap w:val="0"/>
            <w:vAlign w:val="center"/>
          </w:tcPr>
          <w:p w14:paraId="4EBA5E0D">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张</w:t>
            </w:r>
          </w:p>
        </w:tc>
        <w:tc>
          <w:tcPr>
            <w:tcW w:w="1110" w:type="dxa"/>
            <w:noWrap w:val="0"/>
            <w:vAlign w:val="center"/>
          </w:tcPr>
          <w:p w14:paraId="6AE07D43">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r>
    </w:tbl>
    <w:p w14:paraId="190EE524">
      <w:pPr>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注：一、</w:t>
      </w:r>
      <w:r>
        <w:rPr>
          <w:rFonts w:hint="eastAsia" w:ascii="宋体" w:hAnsi="宋体" w:eastAsia="宋体" w:cs="宋体"/>
          <w:b w:val="0"/>
          <w:bCs w:val="0"/>
          <w:color w:val="auto"/>
          <w:sz w:val="24"/>
          <w:szCs w:val="24"/>
          <w:highlight w:val="none"/>
        </w:rPr>
        <w:t>产品安装完成后符合国家相关医疗行业标准。</w:t>
      </w:r>
    </w:p>
    <w:p w14:paraId="7B8404D8">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 xml:space="preserve">本项目预算含以上所有物品及配套安装。（提供承诺书） </w:t>
      </w:r>
    </w:p>
    <w:p w14:paraId="7F371DE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所有物品及辅材均为市场主流品牌。（提供承诺书）</w:t>
      </w:r>
    </w:p>
    <w:p w14:paraId="0B874548">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四、服务内容要求</w:t>
      </w:r>
    </w:p>
    <w:p w14:paraId="4E583830">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采购人对供应商提供的货物在进行使用前调试时，供应商需为采购人提供使用操作培训，保证受训人员能对设备进行熟练操作及日常维护；为采购人维修工程师提供技术培训，直至其具备保障设备正常运行和排除一般性故障的能力。并协助采购人调试，直到符合技术要求，采购人才做最终验收。</w:t>
      </w:r>
    </w:p>
    <w:p w14:paraId="53807154">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2、如在质保期内出现质量问题，供应商须在接到通知后2小时内响应，24小时内到场维修，并承担相关费用。</w:t>
      </w:r>
    </w:p>
    <w:p w14:paraId="58B886B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3、如设备在质保期内因同一故障经供应商两次维修仍不能达到合同约定的技术要求及国家法律法规规定的质量标准，采购人有权要求供应商更换全新设备或退货，并追究供应商违约责任。</w:t>
      </w:r>
    </w:p>
    <w:p w14:paraId="4399B65C">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4、质保期内，设备因自身故障导致的停机率不应超过5%（一年按365天计算），否则供应商应就超出部分（供应商已提供备用机并保障采购人正常使用的时间，不计算为停机时间）按天数向采购人赔偿经济损失。</w:t>
      </w:r>
    </w:p>
    <w:p w14:paraId="14B22177">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5、质保期内，如设备因维修无法使用，供应商应根据采购人需要向采购人提供备用设备。</w:t>
      </w:r>
    </w:p>
    <w:p w14:paraId="3992EEB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6、供应商须指派专人负责与采购人联系售后服务事宜。</w:t>
      </w:r>
    </w:p>
    <w:p w14:paraId="31075274">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五、履约验收方案</w:t>
      </w:r>
    </w:p>
    <w:p w14:paraId="1FEEFB8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1、验收组织方式：自行验收，可邀请本项目的其他供应商参加。</w:t>
      </w:r>
    </w:p>
    <w:p w14:paraId="7EDA7D4B">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2、履约验收程序：一次性验收</w:t>
      </w:r>
    </w:p>
    <w:p w14:paraId="2C1C8EDA">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3、履约验收时间：供应商完成本项目涉及的所有设备的安装、调试并具备验收条件后，于5日内通知采购人验收，采购人接供应商通知后10日内组织验收</w:t>
      </w:r>
    </w:p>
    <w:p w14:paraId="4270E38A">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4、验收组织的其他事项：</w:t>
      </w:r>
    </w:p>
    <w:p w14:paraId="658140A4">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验收方式说明：现场整体验收。</w:t>
      </w:r>
    </w:p>
    <w:p w14:paraId="7FDC9144">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5、技术履约验收内容：</w:t>
      </w:r>
    </w:p>
    <w:p w14:paraId="56EF682F">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按照基于本项目采购需求编制的采购文件要求及中标供应商投标文件情况，由中标供应商向采购人交付的全部内容。</w:t>
      </w:r>
    </w:p>
    <w:p w14:paraId="4355368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6、商务履约验收内容：</w:t>
      </w:r>
    </w:p>
    <w:p w14:paraId="4D08830E">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照基于本项目采购需求编制的采购文件要求及中标供应商投标文件情况，由中标供应商向采购人交付的全部内容。投标人须在投标文件中单独提供配置清单（不同产品分别提供），并保证清单中的组件名称、型号与生产厂家技术资料（医疗器械注册证、说明书、装箱清单、技术白皮书等，至少其中之一）相符合，采购人将以此为依据进行验收。</w:t>
      </w:r>
    </w:p>
    <w:p w14:paraId="115DF8E2">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7、履约验收标准：</w:t>
      </w:r>
    </w:p>
    <w:p w14:paraId="080EE7B6">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（1）国家相关法律法规、行业标准、技术规范。 </w:t>
      </w:r>
    </w:p>
    <w:p w14:paraId="2BBB33C2">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（2）基于本项目采购需求编制的采购文件相关技术、服务要求、中标供应商投标文件相关响应内容。 </w:t>
      </w:r>
    </w:p>
    <w:p w14:paraId="36582664">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（3）产品生产厂家出具的产品说明书、技术白皮书、医疗器械注册证或备案凭证等官方技术资料（如涉及）。</w:t>
      </w:r>
    </w:p>
    <w:p w14:paraId="7FC4DC3B">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（4）如验收时，采购人与供应商认为本项目验收标准中的技术指标、质量要求等内容存在相互抵触或对其理解存在异议，应按照其中更严格的要求、标准等进行验收。</w:t>
      </w:r>
    </w:p>
    <w:p w14:paraId="6CBCDD48">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（5）按照《财政部关于进一步加强政府采购需求和履约验收管理的指导意见》（财库〔2016〕205号）的要求进行验收。</w:t>
      </w:r>
    </w:p>
    <w:p w14:paraId="5636639D">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六、合同履行期限：签订合同后 20 日历天内完成所需设备的采购、供应、运输、安装、调试等相关伴随服务，并通过采购人的验收；</w:t>
      </w:r>
    </w:p>
    <w:p w14:paraId="70ADF41D">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七、质保期：不少于三年（含设备免费维护保养）。</w:t>
      </w:r>
    </w:p>
    <w:p w14:paraId="772CDC7C">
      <w:pPr>
        <w:spacing w:before="282" w:line="219" w:lineRule="auto"/>
        <w:rPr>
          <w:rFonts w:hint="eastAsia" w:ascii="宋体" w:hAnsi="宋体" w:eastAsia="宋体" w:cs="宋体"/>
          <w:b/>
          <w:bCs/>
          <w:color w:val="auto"/>
          <w:sz w:val="24"/>
          <w:szCs w:val="24"/>
          <w:highlight w:val="none"/>
          <w:lang w:val="en-US" w:eastAsia="zh-CN"/>
        </w:rPr>
      </w:pPr>
    </w:p>
    <w:p w14:paraId="23378422">
      <w:pPr>
        <w:spacing w:before="282" w:line="219" w:lineRule="auto"/>
        <w:rPr>
          <w:rFonts w:hint="eastAsia" w:ascii="宋体" w:hAnsi="宋体" w:eastAsia="宋体" w:cs="宋体"/>
          <w:b/>
          <w:bCs/>
          <w:color w:val="auto"/>
          <w:sz w:val="24"/>
          <w:szCs w:val="24"/>
          <w:highlight w:val="none"/>
          <w:lang w:val="en-US" w:eastAsia="zh-CN"/>
        </w:rPr>
      </w:pPr>
    </w:p>
    <w:p w14:paraId="4A909C95">
      <w:pPr>
        <w:spacing w:before="282" w:line="219" w:lineRule="auto"/>
        <w:rPr>
          <w:rFonts w:hint="eastAsia" w:ascii="宋体" w:hAnsi="宋体" w:eastAsia="宋体" w:cs="宋体"/>
          <w:b/>
          <w:bCs/>
          <w:color w:val="auto"/>
          <w:sz w:val="24"/>
          <w:szCs w:val="24"/>
          <w:highlight w:val="none"/>
          <w:lang w:val="en-US" w:eastAsia="zh-CN"/>
        </w:rPr>
      </w:pPr>
    </w:p>
    <w:p w14:paraId="0750D95C">
      <w:pPr>
        <w:spacing w:before="282" w:line="219" w:lineRule="auto"/>
        <w:rPr>
          <w:rFonts w:hint="eastAsia" w:ascii="宋体" w:hAnsi="宋体" w:eastAsia="宋体" w:cs="宋体"/>
          <w:b/>
          <w:bCs/>
          <w:color w:val="auto"/>
          <w:sz w:val="24"/>
          <w:szCs w:val="24"/>
          <w:highlight w:val="none"/>
          <w:lang w:val="en-US" w:eastAsia="zh-CN"/>
        </w:rPr>
      </w:pPr>
    </w:p>
    <w:p w14:paraId="7E754981">
      <w:pPr>
        <w:spacing w:before="282" w:line="219" w:lineRule="auto"/>
        <w:rPr>
          <w:rFonts w:hint="eastAsia" w:ascii="宋体" w:hAnsi="宋体" w:eastAsia="宋体" w:cs="宋体"/>
          <w:b/>
          <w:bCs/>
          <w:color w:val="auto"/>
          <w:sz w:val="24"/>
          <w:szCs w:val="24"/>
          <w:highlight w:val="none"/>
          <w:lang w:val="en-US" w:eastAsia="zh-CN"/>
        </w:rPr>
      </w:pPr>
    </w:p>
    <w:p w14:paraId="43369E0C">
      <w:pPr>
        <w:pStyle w:val="2"/>
        <w:rPr>
          <w:rFonts w:hint="eastAsia" w:ascii="宋体" w:hAnsi="宋体" w:eastAsia="宋体" w:cs="宋体"/>
          <w:b/>
          <w:bCs/>
          <w:color w:val="auto"/>
          <w:sz w:val="24"/>
          <w:szCs w:val="24"/>
          <w:highlight w:val="none"/>
          <w:lang w:val="en-US" w:eastAsia="zh-CN"/>
        </w:rPr>
      </w:pPr>
    </w:p>
    <w:p w14:paraId="538EB26B">
      <w:pPr>
        <w:rPr>
          <w:rFonts w:hint="eastAsia" w:ascii="宋体" w:hAnsi="宋体" w:eastAsia="宋体" w:cs="宋体"/>
          <w:b/>
          <w:bCs/>
          <w:color w:val="auto"/>
          <w:sz w:val="24"/>
          <w:szCs w:val="24"/>
          <w:highlight w:val="none"/>
          <w:lang w:val="en-US" w:eastAsia="zh-CN"/>
        </w:rPr>
      </w:pPr>
    </w:p>
    <w:p w14:paraId="67116346">
      <w:pPr>
        <w:pStyle w:val="2"/>
        <w:rPr>
          <w:rFonts w:hint="eastAsia" w:ascii="宋体" w:hAnsi="宋体" w:eastAsia="宋体" w:cs="宋体"/>
          <w:b/>
          <w:bCs/>
          <w:color w:val="auto"/>
          <w:sz w:val="24"/>
          <w:szCs w:val="24"/>
          <w:highlight w:val="none"/>
          <w:lang w:val="en-US" w:eastAsia="zh-CN"/>
        </w:rPr>
      </w:pPr>
    </w:p>
    <w:p w14:paraId="7E528732">
      <w:pPr>
        <w:rPr>
          <w:rFonts w:hint="eastAsia" w:ascii="宋体" w:hAnsi="宋体" w:eastAsia="宋体" w:cs="宋体"/>
          <w:b/>
          <w:bCs/>
          <w:color w:val="auto"/>
          <w:sz w:val="24"/>
          <w:szCs w:val="24"/>
          <w:highlight w:val="none"/>
          <w:lang w:val="en-US" w:eastAsia="zh-CN"/>
        </w:rPr>
      </w:pPr>
    </w:p>
    <w:p w14:paraId="697CBF3A">
      <w:pPr>
        <w:pStyle w:val="2"/>
        <w:rPr>
          <w:rFonts w:hint="eastAsia" w:ascii="宋体" w:hAnsi="宋体" w:eastAsia="宋体" w:cs="宋体"/>
          <w:b/>
          <w:bCs/>
          <w:color w:val="auto"/>
          <w:sz w:val="24"/>
          <w:szCs w:val="24"/>
          <w:highlight w:val="none"/>
          <w:lang w:val="en-US" w:eastAsia="zh-CN"/>
        </w:rPr>
      </w:pPr>
    </w:p>
    <w:p w14:paraId="6887FBBE">
      <w:pPr>
        <w:rPr>
          <w:rFonts w:hint="eastAsia" w:ascii="宋体" w:hAnsi="宋体" w:eastAsia="宋体" w:cs="宋体"/>
          <w:b/>
          <w:bCs/>
          <w:color w:val="auto"/>
          <w:sz w:val="24"/>
          <w:szCs w:val="24"/>
          <w:highlight w:val="none"/>
          <w:lang w:val="en-US" w:eastAsia="zh-CN"/>
        </w:rPr>
      </w:pPr>
    </w:p>
    <w:p w14:paraId="60E5C372">
      <w:pPr>
        <w:pStyle w:val="2"/>
        <w:rPr>
          <w:rFonts w:hint="eastAsia" w:ascii="宋体" w:hAnsi="宋体" w:eastAsia="宋体" w:cs="宋体"/>
          <w:b/>
          <w:bCs/>
          <w:color w:val="auto"/>
          <w:sz w:val="24"/>
          <w:szCs w:val="24"/>
          <w:highlight w:val="none"/>
          <w:lang w:val="en-US" w:eastAsia="zh-CN"/>
        </w:rPr>
      </w:pPr>
    </w:p>
    <w:p w14:paraId="16D0104A">
      <w:pPr>
        <w:rPr>
          <w:rFonts w:hint="eastAsia" w:ascii="宋体" w:hAnsi="宋体" w:eastAsia="宋体" w:cs="宋体"/>
          <w:b/>
          <w:bCs/>
          <w:color w:val="auto"/>
          <w:sz w:val="24"/>
          <w:szCs w:val="24"/>
          <w:highlight w:val="none"/>
          <w:lang w:val="en-US" w:eastAsia="zh-CN"/>
        </w:rPr>
      </w:pPr>
    </w:p>
    <w:p w14:paraId="207C1FA0">
      <w:pPr>
        <w:pStyle w:val="2"/>
        <w:rPr>
          <w:rFonts w:hint="eastAsia" w:ascii="宋体" w:hAnsi="宋体" w:eastAsia="宋体" w:cs="宋体"/>
          <w:b/>
          <w:bCs/>
          <w:color w:val="auto"/>
          <w:sz w:val="24"/>
          <w:szCs w:val="24"/>
          <w:highlight w:val="none"/>
          <w:lang w:val="en-US" w:eastAsia="zh-CN"/>
        </w:rPr>
      </w:pPr>
    </w:p>
    <w:p w14:paraId="7FEDF1EC">
      <w:pPr>
        <w:rPr>
          <w:rFonts w:hint="eastAsia" w:ascii="宋体" w:hAnsi="宋体" w:eastAsia="宋体" w:cs="宋体"/>
          <w:b/>
          <w:bCs/>
          <w:color w:val="auto"/>
          <w:sz w:val="24"/>
          <w:szCs w:val="24"/>
          <w:highlight w:val="none"/>
          <w:lang w:val="en-US" w:eastAsia="zh-CN"/>
        </w:rPr>
      </w:pPr>
    </w:p>
    <w:p w14:paraId="4F3ADBE2">
      <w:pPr>
        <w:pStyle w:val="2"/>
        <w:rPr>
          <w:rFonts w:hint="eastAsia" w:ascii="宋体" w:hAnsi="宋体" w:eastAsia="宋体" w:cs="宋体"/>
          <w:b/>
          <w:bCs/>
          <w:color w:val="auto"/>
          <w:sz w:val="24"/>
          <w:szCs w:val="24"/>
          <w:highlight w:val="none"/>
          <w:lang w:val="en-US" w:eastAsia="zh-CN"/>
        </w:rPr>
      </w:pPr>
    </w:p>
    <w:p w14:paraId="3D242398">
      <w:pPr>
        <w:rPr>
          <w:rFonts w:hint="eastAsia" w:ascii="宋体" w:hAnsi="宋体" w:eastAsia="宋体" w:cs="宋体"/>
          <w:b/>
          <w:bCs/>
          <w:color w:val="auto"/>
          <w:sz w:val="24"/>
          <w:szCs w:val="24"/>
          <w:highlight w:val="none"/>
          <w:lang w:val="en-US" w:eastAsia="zh-CN"/>
        </w:rPr>
      </w:pPr>
    </w:p>
    <w:p w14:paraId="236304C1">
      <w:pPr>
        <w:pStyle w:val="2"/>
        <w:rPr>
          <w:rFonts w:hint="eastAsia" w:ascii="宋体" w:hAnsi="宋体" w:eastAsia="宋体" w:cs="宋体"/>
          <w:b/>
          <w:bCs/>
          <w:color w:val="auto"/>
          <w:sz w:val="24"/>
          <w:szCs w:val="24"/>
          <w:highlight w:val="none"/>
          <w:lang w:val="en-US" w:eastAsia="zh-CN"/>
        </w:rPr>
      </w:pPr>
    </w:p>
    <w:p w14:paraId="2BA755DD">
      <w:pPr>
        <w:rPr>
          <w:rFonts w:hint="eastAsia" w:ascii="宋体" w:hAnsi="宋体" w:eastAsia="宋体" w:cs="宋体"/>
          <w:b/>
          <w:bCs/>
          <w:color w:val="auto"/>
          <w:sz w:val="24"/>
          <w:szCs w:val="24"/>
          <w:highlight w:val="none"/>
          <w:lang w:val="en-US" w:eastAsia="zh-CN"/>
        </w:rPr>
      </w:pPr>
    </w:p>
    <w:p w14:paraId="702F3300">
      <w:pPr>
        <w:pStyle w:val="2"/>
        <w:rPr>
          <w:rFonts w:hint="eastAsia" w:ascii="宋体" w:hAnsi="宋体" w:eastAsia="宋体" w:cs="宋体"/>
          <w:b/>
          <w:bCs/>
          <w:color w:val="auto"/>
          <w:sz w:val="24"/>
          <w:szCs w:val="24"/>
          <w:highlight w:val="none"/>
          <w:lang w:val="en-US" w:eastAsia="zh-CN"/>
        </w:rPr>
      </w:pPr>
    </w:p>
    <w:p w14:paraId="1E18EA68">
      <w:pPr>
        <w:rPr>
          <w:rFonts w:hint="eastAsia" w:ascii="宋体" w:hAnsi="宋体" w:eastAsia="宋体" w:cs="宋体"/>
          <w:b/>
          <w:bCs/>
          <w:color w:val="auto"/>
          <w:sz w:val="24"/>
          <w:szCs w:val="24"/>
          <w:highlight w:val="none"/>
          <w:lang w:val="en-US" w:eastAsia="zh-CN"/>
        </w:rPr>
      </w:pPr>
    </w:p>
    <w:p w14:paraId="01251AE7">
      <w:pPr>
        <w:pStyle w:val="2"/>
        <w:rPr>
          <w:rFonts w:hint="eastAsia" w:ascii="宋体" w:hAnsi="宋体" w:eastAsia="宋体" w:cs="宋体"/>
          <w:b/>
          <w:bCs/>
          <w:color w:val="auto"/>
          <w:sz w:val="24"/>
          <w:szCs w:val="24"/>
          <w:highlight w:val="none"/>
          <w:lang w:val="en-US" w:eastAsia="zh-CN"/>
        </w:rPr>
      </w:pPr>
    </w:p>
    <w:p w14:paraId="58D6D8FC">
      <w:pPr>
        <w:rPr>
          <w:rFonts w:hint="eastAsia" w:ascii="宋体" w:hAnsi="宋体" w:eastAsia="宋体" w:cs="宋体"/>
          <w:b/>
          <w:bCs/>
          <w:color w:val="auto"/>
          <w:sz w:val="24"/>
          <w:szCs w:val="24"/>
          <w:highlight w:val="none"/>
          <w:lang w:val="en-US" w:eastAsia="zh-CN"/>
        </w:rPr>
      </w:pPr>
    </w:p>
    <w:p w14:paraId="5714FC56">
      <w:pPr>
        <w:pStyle w:val="2"/>
        <w:rPr>
          <w:rFonts w:hint="eastAsia" w:ascii="宋体" w:hAnsi="宋体" w:eastAsia="宋体" w:cs="宋体"/>
          <w:b/>
          <w:bCs/>
          <w:color w:val="auto"/>
          <w:sz w:val="24"/>
          <w:szCs w:val="24"/>
          <w:highlight w:val="none"/>
          <w:lang w:val="en-US" w:eastAsia="zh-CN"/>
        </w:rPr>
      </w:pPr>
    </w:p>
    <w:p w14:paraId="12D9AC88">
      <w:pPr>
        <w:rPr>
          <w:rFonts w:hint="eastAsia" w:ascii="宋体" w:hAnsi="宋体" w:eastAsia="宋体" w:cs="宋体"/>
          <w:b/>
          <w:bCs/>
          <w:color w:val="auto"/>
          <w:sz w:val="24"/>
          <w:szCs w:val="24"/>
          <w:highlight w:val="none"/>
          <w:lang w:val="en-US" w:eastAsia="zh-CN"/>
        </w:rPr>
      </w:pPr>
    </w:p>
    <w:p w14:paraId="73D8BEFD">
      <w:pPr>
        <w:pStyle w:val="2"/>
        <w:rPr>
          <w:rFonts w:hint="eastAsia" w:ascii="宋体" w:hAnsi="宋体" w:eastAsia="宋体" w:cs="宋体"/>
          <w:b/>
          <w:bCs/>
          <w:color w:val="auto"/>
          <w:sz w:val="24"/>
          <w:szCs w:val="24"/>
          <w:highlight w:val="none"/>
          <w:lang w:val="en-US" w:eastAsia="zh-CN"/>
        </w:rPr>
      </w:pPr>
    </w:p>
    <w:p w14:paraId="1D1D6FD5">
      <w:pPr>
        <w:rPr>
          <w:rFonts w:hint="eastAsia" w:ascii="宋体" w:hAnsi="宋体" w:eastAsia="宋体" w:cs="宋体"/>
          <w:b/>
          <w:bCs/>
          <w:color w:val="auto"/>
          <w:sz w:val="24"/>
          <w:szCs w:val="24"/>
          <w:highlight w:val="none"/>
          <w:lang w:val="en-US" w:eastAsia="zh-CN"/>
        </w:rPr>
      </w:pPr>
    </w:p>
    <w:p w14:paraId="04374003">
      <w:pPr>
        <w:pStyle w:val="2"/>
        <w:rPr>
          <w:rFonts w:hint="eastAsia" w:ascii="宋体" w:hAnsi="宋体" w:eastAsia="宋体" w:cs="宋体"/>
          <w:b/>
          <w:bCs/>
          <w:color w:val="auto"/>
          <w:sz w:val="24"/>
          <w:szCs w:val="24"/>
          <w:highlight w:val="none"/>
          <w:lang w:val="en-US" w:eastAsia="zh-CN"/>
        </w:rPr>
      </w:pPr>
    </w:p>
    <w:p w14:paraId="7456C10F">
      <w:pPr>
        <w:rPr>
          <w:rFonts w:hint="eastAsia"/>
          <w:lang w:val="en-US" w:eastAsia="zh-CN"/>
        </w:rPr>
      </w:pPr>
    </w:p>
    <w:p w14:paraId="77F10047">
      <w:pPr>
        <w:pStyle w:val="2"/>
        <w:rPr>
          <w:rFonts w:hint="eastAsia"/>
          <w:lang w:val="en-US" w:eastAsia="zh-CN"/>
        </w:rPr>
      </w:pPr>
    </w:p>
    <w:p w14:paraId="4C3FBCA2">
      <w:pPr>
        <w:spacing w:before="282" w:line="219" w:lineRule="auto"/>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CN"/>
        </w:rPr>
        <w:t>移植舱</w:t>
      </w:r>
      <w:r>
        <w:rPr>
          <w:rFonts w:hint="eastAsia" w:ascii="宋体" w:hAnsi="宋体" w:eastAsia="宋体" w:cs="宋体"/>
          <w:b/>
          <w:bCs/>
          <w:color w:val="auto"/>
          <w:sz w:val="24"/>
          <w:szCs w:val="24"/>
          <w:highlight w:val="none"/>
          <w:lang w:val="en-US" w:eastAsia="zh-Hans"/>
        </w:rPr>
        <w:t>计划安装位置参考图示（仅供参考）：</w:t>
      </w:r>
    </w:p>
    <w:p w14:paraId="64D1B84D">
      <w:pPr>
        <w:pStyle w:val="19"/>
        <w:spacing w:line="259" w:lineRule="auto"/>
        <w:jc w:val="center"/>
        <w:rPr>
          <w:rFonts w:hint="eastAsia" w:eastAsia="宋体"/>
          <w:lang w:eastAsia="zh-CN"/>
        </w:rPr>
      </w:pPr>
      <w:r>
        <w:rPr>
          <w:rFonts w:hint="eastAsia" w:eastAsia="宋体"/>
          <w:lang w:eastAsia="zh-CN"/>
        </w:rPr>
        <w:drawing>
          <wp:inline distT="0" distB="0" distL="114300" distR="114300">
            <wp:extent cx="4128770" cy="5659755"/>
            <wp:effectExtent l="0" t="0" r="5080" b="17145"/>
            <wp:docPr id="3" name="图片 1" descr="大丰新风25111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丰新风251117_01"/>
                    <pic:cNvPicPr>
                      <a:picLocks noChangeAspect="1"/>
                    </pic:cNvPicPr>
                  </pic:nvPicPr>
                  <pic:blipFill>
                    <a:blip r:embed="rId11">
                      <a:lum bright="-6000"/>
                    </a:blip>
                    <a:srcRect l="5322" t="4599" r="6027" b="9511"/>
                    <a:stretch>
                      <a:fillRect/>
                    </a:stretch>
                  </pic:blipFill>
                  <pic:spPr>
                    <a:xfrm>
                      <a:off x="0" y="0"/>
                      <a:ext cx="4128770" cy="5659755"/>
                    </a:xfrm>
                    <a:prstGeom prst="rect">
                      <a:avLst/>
                    </a:prstGeom>
                    <a:noFill/>
                    <a:ln>
                      <a:noFill/>
                    </a:ln>
                  </pic:spPr>
                </pic:pic>
              </a:graphicData>
            </a:graphic>
          </wp:inline>
        </w:drawing>
      </w:r>
    </w:p>
    <w:p w14:paraId="5C9B46F2">
      <w:pPr>
        <w:rPr>
          <w:rFonts w:ascii="宋体" w:hAnsi="宋体" w:eastAsia="宋体" w:cs="宋体"/>
          <w:b/>
          <w:bCs/>
          <w:spacing w:val="-3"/>
          <w:sz w:val="24"/>
          <w:szCs w:val="24"/>
        </w:rPr>
      </w:pPr>
    </w:p>
    <w:p w14:paraId="6BB2E674">
      <w:pPr>
        <w:jc w:val="both"/>
        <w:rPr>
          <w:rFonts w:hint="eastAsia" w:ascii="宋体" w:hAnsi="宋体" w:eastAsia="宋体" w:cs="宋体"/>
          <w:sz w:val="18"/>
          <w:szCs w:val="18"/>
        </w:rPr>
        <w:sectPr>
          <w:pgSz w:w="11906" w:h="16838"/>
          <w:pgMar w:top="1440" w:right="1587" w:bottom="1440" w:left="1587" w:header="851" w:footer="907" w:gutter="0"/>
          <w:pgBorders>
            <w:top w:val="none" w:sz="0" w:space="0"/>
            <w:left w:val="none" w:sz="0" w:space="0"/>
            <w:bottom w:val="none" w:sz="0" w:space="0"/>
            <w:right w:val="none" w:sz="0" w:space="0"/>
          </w:pgBorders>
          <w:cols w:space="720" w:num="1"/>
        </w:sectPr>
      </w:pPr>
    </w:p>
    <w:p w14:paraId="213CC818">
      <w:pPr>
        <w:jc w:val="center"/>
        <w:rPr>
          <w:b/>
          <w:color w:val="000000" w:themeColor="text1"/>
          <w:sz w:val="44"/>
          <w:szCs w:val="44"/>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t>第四章  评标办法及评分标准</w:t>
      </w:r>
      <w:bookmarkEnd w:id="174"/>
      <w:bookmarkEnd w:id="175"/>
      <w:bookmarkEnd w:id="176"/>
      <w:bookmarkEnd w:id="177"/>
    </w:p>
    <w:p w14:paraId="25484460">
      <w:pPr>
        <w:rPr>
          <w:color w:val="000000" w:themeColor="text1"/>
          <w:highlight w:val="none"/>
          <w14:textFill>
            <w14:solidFill>
              <w14:schemeClr w14:val="tx1"/>
            </w14:solidFill>
          </w14:textFill>
        </w:rPr>
      </w:pPr>
    </w:p>
    <w:p w14:paraId="0D55D2EF">
      <w:pPr>
        <w:spacing w:line="360" w:lineRule="auto"/>
        <w:rPr>
          <w:rFonts w:ascii="宋体" w:hAnsi="宋体" w:cs="Courier New"/>
          <w:b/>
          <w:bCs/>
          <w:color w:val="000000" w:themeColor="text1"/>
          <w:highlight w:val="none"/>
          <w14:textFill>
            <w14:solidFill>
              <w14:schemeClr w14:val="tx1"/>
            </w14:solidFill>
          </w14:textFill>
        </w:rPr>
      </w:pPr>
      <w:r>
        <w:rPr>
          <w:rFonts w:hint="eastAsia" w:ascii="宋体" w:hAnsi="宋体" w:cs="Courier New"/>
          <w:b/>
          <w:bCs/>
          <w:color w:val="000000" w:themeColor="text1"/>
          <w:highlight w:val="none"/>
          <w14:textFill>
            <w14:solidFill>
              <w14:schemeClr w14:val="tx1"/>
            </w14:solidFill>
          </w14:textFill>
        </w:rPr>
        <w:t>一、定标原则</w:t>
      </w:r>
    </w:p>
    <w:p w14:paraId="11D424BB">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p>
    <w:p w14:paraId="0C1739B5">
      <w:pPr>
        <w:spacing w:line="36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p>
    <w:p w14:paraId="6D9F4AC6">
      <w:pPr>
        <w:pStyle w:val="292"/>
        <w:keepNext w:val="0"/>
        <w:keepLines w:val="0"/>
        <w:spacing w:before="0"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二、对投标文件的初审</w:t>
      </w:r>
    </w:p>
    <w:p w14:paraId="639EA1D7">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投标文件初审分为资格审查和符合性审查。</w:t>
      </w:r>
    </w:p>
    <w:p w14:paraId="69AC3B23">
      <w:pPr>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2.1资格审查</w:t>
      </w:r>
    </w:p>
    <w:p w14:paraId="58C89949">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开标结束后，采购人或者采购代理机构依法对投标人的资格进行审查。</w:t>
      </w:r>
    </w:p>
    <w:p w14:paraId="46660F05">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审查投标文件中的资格、资信证明文件等，以确定投标人是否具备投标资格。（资格审查需提供的材料详见《资格信誉等证明文件要求》）</w:t>
      </w:r>
    </w:p>
    <w:p w14:paraId="5F9FB7E9">
      <w:pPr>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2.2符合性审查</w:t>
      </w:r>
    </w:p>
    <w:p w14:paraId="1C1B7AA7">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1.评标委员会对符合资格的投标人的投标文件进行符合性审查。</w:t>
      </w:r>
    </w:p>
    <w:p w14:paraId="6C03E9F5">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2.依据招标文件的规定，从投标文件的有效性、完整性和对招标文件的响应程度进行审查，以确定其是否满足招标文件的实质性要求。</w:t>
      </w:r>
    </w:p>
    <w:p w14:paraId="2EC899B6">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3.明确响应的投标应该是与招标文件要求的全部条款、条件和规格相符，没有重大偏离或保留的投标。</w:t>
      </w:r>
    </w:p>
    <w:p w14:paraId="1C6ABE7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p>
    <w:p w14:paraId="7CADD234">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5.如果标文件没有明确响应招标文件的要求，评标委员会将按无效投标处理，投标人不得通过修改或撤销不合要求的偏离或保留而使其投标成为明确响应的投标。</w:t>
      </w:r>
    </w:p>
    <w:p w14:paraId="30996B67">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6.评标委员会将对确定为明确响应的投标进行进一步审核，投标文件报价出现前后不一致的，除招标文件另有规定外，按照下列规定修正：</w:t>
      </w:r>
    </w:p>
    <w:p w14:paraId="02D61F07">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7.投标文件中开标一览表内容与投标文件中相应内容不一致的，以开标一览表为准；</w:t>
      </w:r>
    </w:p>
    <w:p w14:paraId="1B4D69A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8.大写金额和小写金额不一致的，以大写金额为准；</w:t>
      </w:r>
    </w:p>
    <w:p w14:paraId="3CB172BD">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9.单价金额小数点或者百分比有明显错位的，以开标一览表的总价为准，并修改单价；</w:t>
      </w:r>
    </w:p>
    <w:p w14:paraId="69B1785D">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10.总价金额与按单价汇总金额不一致的，以单价金额计算结果为准。</w:t>
      </w:r>
    </w:p>
    <w:p w14:paraId="486D7680">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评标委员会将按上述修正错误的方法调整投标文件中的投标报价，修正后的报价应当采用书面形式，并加盖章，或者由法定代表人或其授权的代表签字，经投标人确认后产生约束力，投标人不确认的，其投标无效。</w:t>
      </w:r>
    </w:p>
    <w:p w14:paraId="2554A947">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1D40B4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8D0AFA1">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14.非单一产品采购，采购人根据采购项目技术构成、产品价格比重等合理确定核心产品，并在招标文件中载明。多家投标人提供的核心产品品牌相同的按上述规定处理。</w:t>
      </w:r>
    </w:p>
    <w:p w14:paraId="26781AC9">
      <w:pPr>
        <w:widowControl/>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评分标准</w:t>
      </w:r>
    </w:p>
    <w:p w14:paraId="08000CC4">
      <w:pPr>
        <w:widowControl/>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3.1政府采购政策功能落实</w:t>
      </w:r>
    </w:p>
    <w:p w14:paraId="4F26E271">
      <w:pPr>
        <w:widowControl/>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3.1.1、小微型企业价格扣除</w:t>
      </w:r>
    </w:p>
    <w:p w14:paraId="6C93D0C7">
      <w:pPr>
        <w:widowControl/>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（1）本项目对所投产品制造商为小型和微型企业给予20%的扣除价格，用扣除后的价格参与评审。</w:t>
      </w:r>
    </w:p>
    <w:p w14:paraId="47F98578">
      <w:pPr>
        <w:widowControl/>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（2）供应商需按照采购文件的要求提供相应的《企业声明函》。</w:t>
      </w:r>
    </w:p>
    <w:p w14:paraId="70069353">
      <w:pPr>
        <w:widowControl/>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（3）企业标准请参照《关于印发中小企业划型标准规定的通知》（工信部联企业[2011]300号）文件规定自行填写。</w:t>
      </w:r>
    </w:p>
    <w:p w14:paraId="1AD11DF3">
      <w:pPr>
        <w:widowControl/>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（4）在货物采购项目中，供应商提供的货物既有中小企业制造货物，也有大型企业制造货物的，不享受本办法规定的中小企业扶持政策。</w:t>
      </w:r>
    </w:p>
    <w:p w14:paraId="1466010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3.1.2、残疾人福利单位价格扣除</w:t>
      </w:r>
    </w:p>
    <w:p w14:paraId="27239638">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（1）本项目对残疾人福利性单位视同小型、微型企业，给予20%的价格扣除，用扣除后的价格参与评审。</w:t>
      </w:r>
    </w:p>
    <w:p w14:paraId="375D9CF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（2）残疾人福利单位需按照采购文件的要求提供《残疾人福利性单位声明函》。</w:t>
      </w:r>
    </w:p>
    <w:p w14:paraId="62EE88A1">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（3）残疾人福利单位标准请参照《关于促进残疾人就业政府采购政策的通知》（财库〔2017〕141号）。</w:t>
      </w:r>
    </w:p>
    <w:p w14:paraId="5EE55DA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3.1.3、监狱和戒毒企业价格扣除</w:t>
      </w:r>
    </w:p>
    <w:p w14:paraId="3C425F5C">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（1）本项目对监狱和戒毒企业（简称监狱企业）视同小型、微型企业，给予20%的价格扣除，用扣除后的价格参与评审。</w:t>
      </w:r>
    </w:p>
    <w:p w14:paraId="02113A5B">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60E825B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（3）监狱企业标准请参照《关于政府采购支持监狱企业发展有关问题的通知》（财库[2014]68号）。</w:t>
      </w:r>
    </w:p>
    <w:p w14:paraId="4E68371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4、残疾人福利单位、监狱企业属于小型、微型企业的，不重复享受政策。</w:t>
      </w:r>
    </w:p>
    <w:p w14:paraId="5866D30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符合本采购文件优先采购 “环境标志产品”或“节能产品”的；必须提供“环境标志产品”或“节能产品”证明，否则不予认可。</w:t>
      </w:r>
    </w:p>
    <w:p w14:paraId="557BAD1E">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62DF6692">
      <w:pPr>
        <w:spacing w:line="360" w:lineRule="auto"/>
        <w:ind w:firstLine="480"/>
        <w:rPr>
          <w:rFonts w:hint="eastAsia" w:ascii="宋体" w:hAnsi="宋体"/>
          <w:color w:val="000000" w:themeColor="text1"/>
          <w:sz w:val="24"/>
          <w:szCs w:val="24"/>
          <w:highlight w:val="none"/>
          <w14:textFill>
            <w14:solidFill>
              <w14:schemeClr w14:val="tx1"/>
            </w14:solidFill>
          </w14:textFill>
        </w:rPr>
      </w:pPr>
    </w:p>
    <w:p w14:paraId="2BE10CB1">
      <w:pPr>
        <w:spacing w:line="360" w:lineRule="auto"/>
        <w:ind w:firstLine="480"/>
        <w:rPr>
          <w:rFonts w:hint="eastAsia" w:ascii="宋体" w:hAnsi="宋体"/>
          <w:color w:val="000000" w:themeColor="text1"/>
          <w:sz w:val="24"/>
          <w:szCs w:val="24"/>
          <w:highlight w:val="none"/>
          <w14:textFill>
            <w14:solidFill>
              <w14:schemeClr w14:val="tx1"/>
            </w14:solidFill>
          </w14:textFill>
        </w:rPr>
      </w:pPr>
    </w:p>
    <w:p w14:paraId="62FFD63E">
      <w:pPr>
        <w:spacing w:line="360" w:lineRule="auto"/>
        <w:rPr>
          <w:rFonts w:hint="eastAsia" w:ascii="宋体" w:hAnsi="宋体"/>
          <w:color w:val="000000" w:themeColor="text1"/>
          <w:sz w:val="24"/>
          <w:szCs w:val="24"/>
          <w:highlight w:val="none"/>
          <w14:textFill>
            <w14:solidFill>
              <w14:schemeClr w14:val="tx1"/>
            </w14:solidFill>
          </w14:textFill>
        </w:rPr>
      </w:pPr>
    </w:p>
    <w:tbl>
      <w:tblPr>
        <w:tblStyle w:val="52"/>
        <w:tblpPr w:leftFromText="180" w:rightFromText="180" w:vertAnchor="text" w:horzAnchor="page" w:tblpX="840" w:tblpY="466"/>
        <w:tblOverlap w:val="never"/>
        <w:tblW w:w="10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3"/>
        <w:gridCol w:w="958"/>
        <w:gridCol w:w="7970"/>
      </w:tblGrid>
      <w:tr w14:paraId="1268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0C5A9609">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分项</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3D8A557E">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分值</w:t>
            </w:r>
          </w:p>
        </w:tc>
        <w:tc>
          <w:tcPr>
            <w:tcW w:w="7970" w:type="dxa"/>
            <w:tcBorders>
              <w:top w:val="single" w:color="auto" w:sz="4" w:space="0"/>
              <w:left w:val="single" w:color="auto" w:sz="4" w:space="0"/>
              <w:bottom w:val="single" w:color="auto" w:sz="4" w:space="0"/>
              <w:right w:val="single" w:color="auto" w:sz="4" w:space="0"/>
            </w:tcBorders>
            <w:noWrap w:val="0"/>
            <w:vAlign w:val="center"/>
          </w:tcPr>
          <w:p w14:paraId="356E1201">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评分标准</w:t>
            </w:r>
          </w:p>
        </w:tc>
      </w:tr>
      <w:tr w14:paraId="33C1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6D33C28C">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投标报价</w:t>
            </w:r>
          </w:p>
          <w:p w14:paraId="0610DB88">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30</w:t>
            </w:r>
            <w:r>
              <w:rPr>
                <w:rFonts w:hint="eastAsia" w:ascii="宋体" w:hAnsi="宋体"/>
                <w:color w:val="000000" w:themeColor="text1"/>
                <w:highlight w:val="none"/>
                <w14:textFill>
                  <w14:solidFill>
                    <w14:schemeClr w14:val="tx1"/>
                  </w14:solidFill>
                </w14:textFill>
              </w:rPr>
              <w:t>分）</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55665A1F">
            <w:pPr>
              <w:widowControl/>
              <w:spacing w:line="360" w:lineRule="auto"/>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30</w:t>
            </w:r>
            <w:r>
              <w:rPr>
                <w:rFonts w:hint="eastAsia" w:ascii="宋体" w:hAnsi="宋体"/>
                <w:color w:val="000000" w:themeColor="text1"/>
                <w:highlight w:val="none"/>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noWrap w:val="0"/>
            <w:vAlign w:val="center"/>
          </w:tcPr>
          <w:p w14:paraId="27EBD153">
            <w:pPr>
              <w:widowControl/>
              <w:spacing w:line="360" w:lineRule="auto"/>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满足招标文件要求且投标价格最低的投标报价为评标基准价，投标报价得分=（评标基准价／投标报价）×30，计算分数时四舍五入取小数点后两位。</w:t>
            </w:r>
          </w:p>
          <w:p w14:paraId="035D0881">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注：1、评审过程中出现下列情形之一的，评审委员会应当启动异常低价投标(响应)审查程序:</w:t>
            </w:r>
          </w:p>
          <w:p w14:paraId="574E383D">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（1）投标(响应)报价低于采购项目预算50%的，即投标(响应)报价&lt;采购项目预算x50%;</w:t>
            </w:r>
          </w:p>
          <w:p w14:paraId="60AC67DD">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（2）投标(响应)报价低于采购项目最高限价45%的，即投标(响应)报价&lt;采购项目最高限价x45%;</w:t>
            </w:r>
          </w:p>
          <w:p w14:paraId="3859FF31">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（3）评审委员会认定的供应商报价过低、有可能影响产品质量或者不能诚信履约的其他情形。</w:t>
            </w:r>
          </w:p>
          <w:p w14:paraId="025745E8">
            <w:pPr>
              <w:spacing w:line="360" w:lineRule="auto"/>
              <w:ind w:firstLine="480"/>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p>
        </w:tc>
      </w:tr>
      <w:tr w14:paraId="69C59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77A4B375">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技术参数</w:t>
            </w:r>
          </w:p>
          <w:p w14:paraId="51861B6F">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40</w:t>
            </w:r>
            <w:r>
              <w:rPr>
                <w:rFonts w:hint="eastAsia" w:ascii="宋体" w:hAnsi="宋体"/>
                <w:color w:val="000000" w:themeColor="text1"/>
                <w:highlight w:val="none"/>
                <w14:textFill>
                  <w14:solidFill>
                    <w14:schemeClr w14:val="tx1"/>
                  </w14:solidFill>
                </w14:textFill>
              </w:rPr>
              <w:t>分）</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04EED668">
            <w:pPr>
              <w:widowControl/>
              <w:spacing w:line="360" w:lineRule="auto"/>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40</w:t>
            </w:r>
            <w:r>
              <w:rPr>
                <w:rFonts w:hint="eastAsia" w:ascii="宋体" w:hAnsi="宋体"/>
                <w:color w:val="000000" w:themeColor="text1"/>
                <w:highlight w:val="none"/>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noWrap w:val="0"/>
            <w:vAlign w:val="center"/>
          </w:tcPr>
          <w:p w14:paraId="440C7A6A">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default" w:ascii="宋体" w:hAnsi="宋体" w:eastAsia="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sz w:val="20"/>
                <w:szCs w:val="20"/>
                <w:highlight w:val="none"/>
                <w:lang w:val="en-US" w:eastAsia="zh-CN" w:bidi="ar-SA"/>
                <w14:textFill>
                  <w14:solidFill>
                    <w14:schemeClr w14:val="tx1"/>
                  </w14:solidFill>
                </w14:textFill>
              </w:rPr>
              <w:t>投标人所投产品的技术参数和性能指标全部满足或优于招标文件要求的，得满分</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40</w:t>
            </w:r>
            <w:r>
              <w:rPr>
                <w:rFonts w:hint="default" w:ascii="宋体" w:hAnsi="宋体" w:eastAsia="宋体" w:cs="宋体"/>
                <w:color w:val="000000" w:themeColor="text1"/>
                <w:sz w:val="20"/>
                <w:szCs w:val="20"/>
                <w:highlight w:val="none"/>
                <w:lang w:val="en-US" w:eastAsia="zh-CN" w:bidi="ar-SA"/>
                <w14:textFill>
                  <w14:solidFill>
                    <w14:schemeClr w14:val="tx1"/>
                  </w14:solidFill>
                </w14:textFill>
              </w:rPr>
              <w:t>分。每有一项负偏离扣</w:t>
            </w:r>
            <w:r>
              <w:rPr>
                <w:rFonts w:hint="eastAsia" w:ascii="宋体" w:hAnsi="宋体" w:cs="宋体"/>
                <w:color w:val="000000" w:themeColor="text1"/>
                <w:sz w:val="20"/>
                <w:szCs w:val="20"/>
                <w:highlight w:val="none"/>
                <w:lang w:val="en-US" w:eastAsia="zh-CN" w:bidi="ar-SA"/>
                <w14:textFill>
                  <w14:solidFill>
                    <w14:schemeClr w14:val="tx1"/>
                  </w14:solidFill>
                </w14:textFill>
              </w:rPr>
              <w:t>2</w:t>
            </w:r>
            <w:r>
              <w:rPr>
                <w:rFonts w:hint="default" w:ascii="宋体" w:hAnsi="宋体" w:eastAsia="宋体" w:cs="宋体"/>
                <w:color w:val="000000" w:themeColor="text1"/>
                <w:sz w:val="20"/>
                <w:szCs w:val="20"/>
                <w:highlight w:val="none"/>
                <w:lang w:val="en-US" w:eastAsia="zh-CN" w:bidi="ar-SA"/>
                <w14:textFill>
                  <w14:solidFill>
                    <w14:schemeClr w14:val="tx1"/>
                  </w14:solidFill>
                </w14:textFill>
              </w:rPr>
              <w:t>分，扣完为止。虚假响应招标参数的文件，一经查出，以废标处理，并承担因此造成的招标人所有损失。</w:t>
            </w:r>
          </w:p>
        </w:tc>
      </w:tr>
      <w:tr w14:paraId="7FBE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4E8075C5">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供货、安装方案</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623CB6">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5</w:t>
            </w:r>
            <w:r>
              <w:rPr>
                <w:rFonts w:hint="eastAsia" w:ascii="宋体" w:hAnsi="宋体" w:eastAsia="宋体" w:cs="宋体"/>
                <w:color w:val="000000" w:themeColor="text1"/>
                <w:sz w:val="20"/>
                <w:szCs w:val="20"/>
                <w:highlight w:val="none"/>
                <w:lang w:val="zh-CN" w:eastAsia="zh-CN" w:bidi="ar-SA"/>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7B5BA0">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供货、安装方案：包括但不限于准备工作、项目前期供货的整体计划、项目供货的择优保障措施等方面进行评审。</w:t>
            </w:r>
          </w:p>
          <w:p w14:paraId="7FBA2B10">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4E7194AF">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6D5F6BE4">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3235131E">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06C0FE26">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3691D45F">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⑥未提供的不得分</w:t>
            </w:r>
          </w:p>
        </w:tc>
      </w:tr>
      <w:tr w14:paraId="14A1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7C7D9D78">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货物包装、运输方案</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82E774">
            <w:pPr>
              <w:keepNext w:val="0"/>
              <w:keepLines w:val="0"/>
              <w:pageBreakBefore w:val="0"/>
              <w:spacing w:line="240" w:lineRule="auto"/>
              <w:jc w:val="both"/>
              <w:rPr>
                <w:rFonts w:hint="default" w:ascii="宋体" w:hAnsi="Calibri" w:cs="宋体"/>
                <w:color w:val="000000" w:themeColor="text1"/>
                <w:sz w:val="20"/>
                <w:szCs w:val="20"/>
                <w:highlight w:val="none"/>
                <w14:textFill>
                  <w14:solidFill>
                    <w14:schemeClr w14:val="tx1"/>
                  </w14:solidFill>
                </w14:textFill>
              </w:rPr>
            </w:pPr>
          </w:p>
          <w:p w14:paraId="1157A653">
            <w:pPr>
              <w:keepNext w:val="0"/>
              <w:keepLines w:val="0"/>
              <w:pageBreakBefore w:val="0"/>
              <w:spacing w:line="240" w:lineRule="auto"/>
              <w:jc w:val="center"/>
              <w:rPr>
                <w:rFonts w:hint="eastAsia" w:ascii="宋体" w:hAnsi="Calibri" w:eastAsia="宋体" w:cs="宋体"/>
                <w:color w:val="000000" w:themeColor="text1"/>
                <w:sz w:val="20"/>
                <w:szCs w:val="20"/>
                <w:highlight w:val="none"/>
                <w:lang w:val="en-US" w:eastAsia="zh-CN" w:bidi="ar-SA"/>
                <w14:textFill>
                  <w14:solidFill>
                    <w14:schemeClr w14:val="tx1"/>
                  </w14:solidFill>
                </w14:textFill>
              </w:rPr>
            </w:pPr>
            <w:r>
              <w:rPr>
                <w:rFonts w:hint="eastAsia" w:ascii="宋体" w:hAnsi="Calibri" w:cs="宋体"/>
                <w:color w:val="000000" w:themeColor="text1"/>
                <w:sz w:val="20"/>
                <w:szCs w:val="20"/>
                <w:highlight w:val="none"/>
                <w:lang w:val="en-US" w:eastAsia="zh-CN"/>
                <w14:textFill>
                  <w14:solidFill>
                    <w14:schemeClr w14:val="tx1"/>
                  </w14:solidFill>
                </w14:textFill>
              </w:rPr>
              <w:t>5</w:t>
            </w:r>
            <w:r>
              <w:rPr>
                <w:rFonts w:hint="eastAsia" w:ascii="宋体" w:hAnsi="Calibri" w:cs="宋体"/>
                <w:color w:val="000000" w:themeColor="text1"/>
                <w:sz w:val="20"/>
                <w:szCs w:val="20"/>
                <w:highlight w:val="none"/>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A68DEE">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货物包装方案及运输方案，方案需适应运输和多次搬运，保证在运输、装卸过程中完好无损，防潮、防霉等方面进行评审。</w:t>
            </w:r>
          </w:p>
          <w:p w14:paraId="0470A76B">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2F2FD07F">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41232B35">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707B79E0">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569C7E30">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2C5B3E01">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⑥未提供的不得分。</w:t>
            </w:r>
          </w:p>
        </w:tc>
      </w:tr>
      <w:tr w14:paraId="24112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795996F9">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质量保证措施</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D8794F">
            <w:pPr>
              <w:keepNext w:val="0"/>
              <w:keepLines w:val="0"/>
              <w:pageBreakBefore w:val="0"/>
              <w:spacing w:line="240" w:lineRule="auto"/>
              <w:jc w:val="cente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5</w:t>
            </w:r>
            <w:r>
              <w:rPr>
                <w:rFonts w:hint="eastAsia" w:ascii="宋体" w:hAnsi="宋体" w:cs="Times New Roman"/>
                <w:color w:val="000000" w:themeColor="text1"/>
                <w:sz w:val="20"/>
                <w:szCs w:val="20"/>
                <w:highlight w:val="none"/>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2C58B7">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根据投标人</w:t>
            </w:r>
            <w:r>
              <w:rPr>
                <w:rFonts w:hint="eastAsia" w:ascii="宋体" w:hAnsi="宋体" w:cs="宋体"/>
                <w:color w:val="000000" w:themeColor="text1"/>
                <w:sz w:val="20"/>
                <w:szCs w:val="20"/>
                <w:highlight w:val="none"/>
                <w:lang w:val="en-US" w:eastAsia="zh-CN" w:bidi="ar-SA"/>
                <w14:textFill>
                  <w14:solidFill>
                    <w14:schemeClr w14:val="tx1"/>
                  </w14:solidFill>
                </w14:textFill>
              </w:rPr>
              <w:t>提供的针对</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本项目招标</w:t>
            </w:r>
            <w:r>
              <w:rPr>
                <w:rFonts w:hint="eastAsia" w:ascii="宋体" w:hAnsi="宋体" w:cs="宋体"/>
                <w:color w:val="000000" w:themeColor="text1"/>
                <w:sz w:val="20"/>
                <w:szCs w:val="20"/>
                <w:highlight w:val="none"/>
                <w:lang w:val="en-US" w:eastAsia="zh-CN" w:bidi="ar-SA"/>
                <w14:textFill>
                  <w14:solidFill>
                    <w14:schemeClr w14:val="tx1"/>
                  </w14:solidFill>
                </w14:textFill>
              </w:rPr>
              <w:t>采购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需求制定质量保证及措施方案等方面进行评审。</w:t>
            </w:r>
          </w:p>
          <w:p w14:paraId="3C0E670C">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2D5A66F1">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51680A8E">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58467BD5">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51DDC35F">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3BC727B7">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⑥未提供的不得分。</w:t>
            </w:r>
          </w:p>
        </w:tc>
      </w:tr>
      <w:tr w14:paraId="56E70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43983702">
            <w:pPr>
              <w:widowControl/>
              <w:spacing w:line="360" w:lineRule="auto"/>
              <w:jc w:val="center"/>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产品培训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方案</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6A88EB">
            <w:pPr>
              <w:keepNext w:val="0"/>
              <w:keepLines w:val="0"/>
              <w:pageBreakBefore w:val="0"/>
              <w:spacing w:line="240" w:lineRule="auto"/>
              <w:jc w:val="center"/>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5</w:t>
            </w:r>
            <w:r>
              <w:rPr>
                <w:rFonts w:hint="eastAsia" w:ascii="宋体" w:hAnsi="Calibri" w:cs="Times New Roman"/>
                <w:color w:val="000000" w:themeColor="text1"/>
                <w:sz w:val="20"/>
                <w:szCs w:val="21"/>
                <w:highlight w:val="none"/>
                <w:lang w:val="zh-CN"/>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3CD44F">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投标人</w:t>
            </w:r>
            <w:r>
              <w:rPr>
                <w:rFonts w:hint="eastAsia" w:ascii="宋体" w:hAnsi="宋体" w:cs="宋体"/>
                <w:color w:val="000000" w:themeColor="text1"/>
                <w:sz w:val="20"/>
                <w:szCs w:val="20"/>
                <w:highlight w:val="none"/>
                <w:lang w:val="en-US" w:eastAsia="zh-CN" w:bidi="ar-SA"/>
                <w14:textFill>
                  <w14:solidFill>
                    <w14:schemeClr w14:val="tx1"/>
                  </w14:solidFill>
                </w14:textFill>
              </w:rPr>
              <w:t>提供的培训内容的针对性、培训方案的可行性、培训保障配套方案</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等方面进行评审。</w:t>
            </w:r>
          </w:p>
          <w:p w14:paraId="45CB624B">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58F2FEEE">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6427D4C6">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74A1D3AB">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7F2A8E7C">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0EAEA84D">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⑥未提供的不得分。</w:t>
            </w:r>
          </w:p>
        </w:tc>
      </w:tr>
      <w:tr w14:paraId="199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45AB5257">
            <w:pPr>
              <w:widowControl/>
              <w:spacing w:line="360" w:lineRule="auto"/>
              <w:jc w:val="center"/>
              <w:rPr>
                <w:rFonts w:hint="eastAsia"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售后响应能力</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5F373B">
            <w:pPr>
              <w:keepNext w:val="0"/>
              <w:keepLines w:val="0"/>
              <w:pageBreakBefore w:val="0"/>
              <w:spacing w:line="240" w:lineRule="auto"/>
              <w:jc w:val="center"/>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5</w:t>
            </w:r>
            <w:r>
              <w:rPr>
                <w:rFonts w:hint="eastAsia" w:ascii="宋体" w:hAnsi="Calibri" w:cs="Times New Roman"/>
                <w:color w:val="000000" w:themeColor="text1"/>
                <w:sz w:val="20"/>
                <w:szCs w:val="21"/>
                <w:highlight w:val="none"/>
                <w:lang w:val="zh-CN"/>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6193A2">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根据投标人</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提供</w:t>
            </w:r>
            <w:r>
              <w:rPr>
                <w:rFonts w:hint="eastAsia" w:ascii="宋体" w:hAnsi="宋体" w:cs="宋体"/>
                <w:color w:val="000000" w:themeColor="text1"/>
                <w:sz w:val="20"/>
                <w:szCs w:val="20"/>
                <w:highlight w:val="none"/>
                <w:lang w:val="en-US" w:eastAsia="zh-CN" w:bidi="ar-SA"/>
                <w14:textFill>
                  <w14:solidFill>
                    <w14:schemeClr w14:val="tx1"/>
                  </w14:solidFill>
                </w14:textFill>
              </w:rPr>
              <w:t>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完备的售后服务方案及保障措施，评标委员会根据售后服务内容、售后服务响应时间及方式、质保内容等方面进行评审。</w:t>
            </w:r>
          </w:p>
          <w:p w14:paraId="66A7BF4B">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158616CE">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35C390B2">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228894A7">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6B75B8E8">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分；</w:t>
            </w:r>
          </w:p>
          <w:p w14:paraId="6563C911">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⑥未提供的不得分。</w:t>
            </w:r>
          </w:p>
        </w:tc>
      </w:tr>
      <w:tr w14:paraId="4E698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69CDDE21">
            <w:pPr>
              <w:widowControl/>
              <w:spacing w:line="360" w:lineRule="auto"/>
              <w:jc w:val="center"/>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业绩</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08F9CA">
            <w:pPr>
              <w:keepNext w:val="0"/>
              <w:keepLines w:val="0"/>
              <w:pageBreakBefore w:val="0"/>
              <w:spacing w:line="240" w:lineRule="auto"/>
              <w:jc w:val="both"/>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2</w:t>
            </w:r>
            <w:r>
              <w:rPr>
                <w:rFonts w:hint="eastAsia" w:ascii="宋体" w:hAnsi="宋体" w:eastAsia="宋体" w:cs="Times New Roman"/>
                <w:color w:val="000000" w:themeColor="text1"/>
                <w:sz w:val="20"/>
                <w:szCs w:val="20"/>
                <w:highlight w:val="none"/>
                <w14:textFill>
                  <w14:solidFill>
                    <w14:schemeClr w14:val="tx1"/>
                  </w14:solidFill>
                </w14:textFill>
              </w:rPr>
              <w:t>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137D8A">
            <w:pPr>
              <w:keepNext w:val="0"/>
              <w:keepLines w:val="0"/>
              <w:pageBreakBefore w:val="0"/>
              <w:spacing w:line="360" w:lineRule="auto"/>
              <w:rPr>
                <w:rFonts w:hint="eastAsia" w:ascii="宋体" w:hAnsi="宋体" w:eastAsia="宋体" w:cs="Times New Roman"/>
                <w:b/>
                <w:color w:val="000000" w:themeColor="text1"/>
                <w:sz w:val="20"/>
                <w:szCs w:val="21"/>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提供</w:t>
            </w:r>
            <w:r>
              <w:rPr>
                <w:rFonts w:hint="eastAsia" w:ascii="宋体" w:hAnsi="宋体" w:cs="Times New Roman"/>
                <w:color w:val="000000" w:themeColor="text1"/>
                <w:sz w:val="20"/>
                <w:szCs w:val="20"/>
                <w:highlight w:val="none"/>
                <w14:textFill>
                  <w14:solidFill>
                    <w14:schemeClr w14:val="tx1"/>
                  </w14:solidFill>
                </w14:textFill>
              </w:rPr>
              <w:t>202</w:t>
            </w:r>
            <w:r>
              <w:rPr>
                <w:rFonts w:hint="default" w:ascii="宋体" w:hAnsi="宋体" w:cs="Times New Roman"/>
                <w:color w:val="000000" w:themeColor="text1"/>
                <w:sz w:val="20"/>
                <w:szCs w:val="20"/>
                <w:highlight w:val="none"/>
                <w:lang w:val="en-US"/>
                <w14:textFill>
                  <w14:solidFill>
                    <w14:schemeClr w14:val="tx1"/>
                  </w14:solidFill>
                </w14:textFill>
              </w:rPr>
              <w:t>2</w:t>
            </w:r>
            <w:r>
              <w:rPr>
                <w:rFonts w:hint="eastAsia" w:ascii="宋体" w:hAnsi="宋体" w:cs="Times New Roman"/>
                <w:color w:val="000000" w:themeColor="text1"/>
                <w:sz w:val="20"/>
                <w:szCs w:val="20"/>
                <w:highlight w:val="none"/>
                <w14:textFill>
                  <w14:solidFill>
                    <w14:schemeClr w14:val="tx1"/>
                  </w14:solidFill>
                </w14:textFill>
              </w:rPr>
              <w:t>年1月</w:t>
            </w:r>
            <w:r>
              <w:rPr>
                <w:rFonts w:hint="eastAsia" w:ascii="宋体" w:hAnsi="宋体" w:cs="Times New Roman"/>
                <w:color w:val="000000" w:themeColor="text1"/>
                <w:sz w:val="20"/>
                <w:szCs w:val="20"/>
                <w:highlight w:val="none"/>
                <w:lang w:val="en-US" w:eastAsia="zh-CN"/>
                <w14:textFill>
                  <w14:solidFill>
                    <w14:schemeClr w14:val="tx1"/>
                  </w14:solidFill>
                </w14:textFill>
              </w:rPr>
              <w:t>1日</w:t>
            </w:r>
            <w:r>
              <w:rPr>
                <w:rFonts w:hint="eastAsia" w:ascii="宋体" w:hAnsi="宋体" w:cs="Times New Roman"/>
                <w:color w:val="000000" w:themeColor="text1"/>
                <w:sz w:val="20"/>
                <w:szCs w:val="20"/>
                <w:highlight w:val="none"/>
                <w14:textFill>
                  <w14:solidFill>
                    <w14:schemeClr w14:val="tx1"/>
                  </w14:solidFill>
                </w14:textFill>
              </w:rPr>
              <w:t>以来</w:t>
            </w:r>
            <w:r>
              <w:rPr>
                <w:rFonts w:hint="eastAsia" w:ascii="宋体" w:hAnsi="宋体" w:cs="Times New Roman"/>
                <w:color w:val="000000" w:themeColor="text1"/>
                <w:sz w:val="20"/>
                <w:szCs w:val="20"/>
                <w:highlight w:val="none"/>
                <w:lang w:val="en-US" w:eastAsia="zh-CN"/>
                <w14:textFill>
                  <w14:solidFill>
                    <w14:schemeClr w14:val="tx1"/>
                  </w14:solidFill>
                </w14:textFill>
              </w:rPr>
              <w:t>类似项目</w:t>
            </w:r>
            <w:r>
              <w:rPr>
                <w:rFonts w:hint="eastAsia" w:ascii="宋体" w:hAnsi="宋体" w:cs="Times New Roman"/>
                <w:color w:val="000000" w:themeColor="text1"/>
                <w:sz w:val="20"/>
                <w:szCs w:val="20"/>
                <w:highlight w:val="none"/>
                <w14:textFill>
                  <w14:solidFill>
                    <w14:schemeClr w14:val="tx1"/>
                  </w14:solidFill>
                </w14:textFill>
              </w:rPr>
              <w:t>的相关业绩</w:t>
            </w:r>
            <w:r>
              <w:rPr>
                <w:rFonts w:hint="eastAsia" w:ascii="宋体" w:hAnsi="宋体" w:cs="Times New Roman"/>
                <w:color w:val="000000" w:themeColor="text1"/>
                <w:sz w:val="20"/>
                <w:szCs w:val="20"/>
                <w:highlight w:val="none"/>
                <w:lang w:eastAsia="zh-CN"/>
                <w14:textFill>
                  <w14:solidFill>
                    <w14:schemeClr w14:val="tx1"/>
                  </w14:solidFill>
                </w14:textFill>
              </w:rPr>
              <w:t>（</w:t>
            </w:r>
            <w:r>
              <w:rPr>
                <w:rFonts w:hint="eastAsia" w:ascii="宋体" w:hAnsi="宋体" w:cs="Times New Roman"/>
                <w:color w:val="000000" w:themeColor="text1"/>
                <w:sz w:val="20"/>
                <w:szCs w:val="20"/>
                <w:highlight w:val="none"/>
                <w:lang w:val="en-US" w:eastAsia="zh-CN"/>
                <w14:textFill>
                  <w14:solidFill>
                    <w14:schemeClr w14:val="tx1"/>
                  </w14:solidFill>
                </w14:textFill>
              </w:rPr>
              <w:t>需</w:t>
            </w:r>
            <w:r>
              <w:rPr>
                <w:rFonts w:hint="eastAsia" w:ascii="宋体" w:hAnsi="宋体" w:cs="Times New Roman"/>
                <w:b w:val="0"/>
                <w:bCs w:val="0"/>
                <w:color w:val="000000" w:themeColor="text1"/>
                <w:sz w:val="20"/>
                <w:szCs w:val="20"/>
                <w:highlight w:val="none"/>
                <w:lang w:val="en-US" w:eastAsia="zh-CN"/>
                <w14:textFill>
                  <w14:solidFill>
                    <w14:schemeClr w14:val="tx1"/>
                  </w14:solidFill>
                </w14:textFill>
              </w:rPr>
              <w:t>包含移动式移植仓</w:t>
            </w:r>
            <w:r>
              <w:rPr>
                <w:rFonts w:hint="eastAsia" w:ascii="宋体" w:hAnsi="宋体" w:cs="Times New Roman"/>
                <w:color w:val="000000" w:themeColor="text1"/>
                <w:sz w:val="20"/>
                <w:szCs w:val="20"/>
                <w:highlight w:val="none"/>
                <w:lang w:eastAsia="zh-CN"/>
                <w14:textFill>
                  <w14:solidFill>
                    <w14:schemeClr w14:val="tx1"/>
                  </w14:solidFill>
                </w14:textFill>
              </w:rPr>
              <w:t>）</w:t>
            </w:r>
            <w:r>
              <w:rPr>
                <w:rFonts w:hint="eastAsia" w:ascii="宋体" w:hAnsi="宋体" w:cs="Times New Roman"/>
                <w:color w:val="000000" w:themeColor="text1"/>
                <w:sz w:val="20"/>
                <w:szCs w:val="20"/>
                <w:highlight w:val="none"/>
                <w14:textFill>
                  <w14:solidFill>
                    <w14:schemeClr w14:val="tx1"/>
                  </w14:solidFill>
                </w14:textFill>
              </w:rPr>
              <w:t>，每提供一个合同得</w:t>
            </w:r>
            <w:r>
              <w:rPr>
                <w:rFonts w:hint="eastAsia" w:ascii="宋体" w:hAnsi="宋体" w:cs="Times New Roman"/>
                <w:color w:val="000000" w:themeColor="text1"/>
                <w:sz w:val="20"/>
                <w:szCs w:val="20"/>
                <w:highlight w:val="none"/>
                <w:lang w:val="en-US" w:eastAsia="zh-CN"/>
                <w14:textFill>
                  <w14:solidFill>
                    <w14:schemeClr w14:val="tx1"/>
                  </w14:solidFill>
                </w14:textFill>
              </w:rPr>
              <w:t>1</w:t>
            </w:r>
            <w:r>
              <w:rPr>
                <w:rFonts w:hint="eastAsia" w:ascii="宋体" w:hAnsi="宋体" w:cs="Times New Roman"/>
                <w:color w:val="000000" w:themeColor="text1"/>
                <w:sz w:val="20"/>
                <w:szCs w:val="20"/>
                <w:highlight w:val="none"/>
                <w14:textFill>
                  <w14:solidFill>
                    <w14:schemeClr w14:val="tx1"/>
                  </w14:solidFill>
                </w14:textFill>
              </w:rPr>
              <w:t>分，满分</w:t>
            </w:r>
            <w:r>
              <w:rPr>
                <w:rFonts w:hint="eastAsia" w:ascii="宋体" w:hAnsi="宋体" w:cs="Times New Roman"/>
                <w:color w:val="000000" w:themeColor="text1"/>
                <w:sz w:val="20"/>
                <w:szCs w:val="20"/>
                <w:highlight w:val="none"/>
                <w:lang w:val="en-US" w:eastAsia="zh-CN"/>
                <w14:textFill>
                  <w14:solidFill>
                    <w14:schemeClr w14:val="tx1"/>
                  </w14:solidFill>
                </w14:textFill>
              </w:rPr>
              <w:t>2</w:t>
            </w:r>
            <w:r>
              <w:rPr>
                <w:rFonts w:hint="eastAsia" w:ascii="宋体" w:hAnsi="宋体" w:cs="Times New Roman"/>
                <w:color w:val="000000" w:themeColor="text1"/>
                <w:sz w:val="20"/>
                <w:szCs w:val="20"/>
                <w:highlight w:val="none"/>
                <w14:textFill>
                  <w14:solidFill>
                    <w14:schemeClr w14:val="tx1"/>
                  </w14:solidFill>
                </w14:textFill>
              </w:rPr>
              <w:t>分。</w:t>
            </w:r>
            <w:r>
              <w:rPr>
                <w:rFonts w:hint="eastAsia" w:ascii="宋体" w:hAnsi="宋体" w:cs="Times New Roman"/>
                <w:b/>
                <w:color w:val="000000" w:themeColor="text1"/>
                <w:sz w:val="20"/>
                <w:szCs w:val="20"/>
                <w:highlight w:val="none"/>
                <w14:textFill>
                  <w14:solidFill>
                    <w14:schemeClr w14:val="tx1"/>
                  </w14:solidFill>
                </w14:textFill>
              </w:rPr>
              <w:t>（</w:t>
            </w:r>
            <w:r>
              <w:rPr>
                <w:rFonts w:hint="eastAsia" w:ascii="宋体" w:hAnsi="宋体" w:cs="Times New Roman"/>
                <w:b/>
                <w:bCs/>
                <w:color w:val="000000" w:themeColor="text1"/>
                <w:sz w:val="20"/>
                <w:szCs w:val="20"/>
                <w:highlight w:val="none"/>
                <w14:textFill>
                  <w14:solidFill>
                    <w14:schemeClr w14:val="tx1"/>
                  </w14:solidFill>
                </w14:textFill>
              </w:rPr>
              <w:t>合同原件</w:t>
            </w:r>
            <w:r>
              <w:rPr>
                <w:rFonts w:hint="eastAsia" w:ascii="宋体" w:hAnsi="宋体" w:cs="宋体"/>
                <w:b/>
                <w:color w:val="000000" w:themeColor="text1"/>
                <w:sz w:val="20"/>
                <w:szCs w:val="20"/>
                <w:highlight w:val="none"/>
                <w14:textFill>
                  <w14:solidFill>
                    <w14:schemeClr w14:val="tx1"/>
                  </w14:solidFill>
                </w14:textFill>
              </w:rPr>
              <w:t>扫描上传并加盖供应商公章</w:t>
            </w:r>
            <w:r>
              <w:rPr>
                <w:rFonts w:hint="eastAsia" w:ascii="宋体" w:hAnsi="宋体" w:cs="Times New Roman"/>
                <w:color w:val="000000" w:themeColor="text1"/>
                <w:sz w:val="20"/>
                <w:szCs w:val="20"/>
                <w:highlight w:val="none"/>
                <w:lang w:val="en-US" w:eastAsia="zh-CN"/>
                <w14:textFill>
                  <w14:solidFill>
                    <w14:schemeClr w14:val="tx1"/>
                  </w14:solidFill>
                </w14:textFill>
              </w:rPr>
              <w:t>，</w:t>
            </w:r>
            <w:r>
              <w:rPr>
                <w:rFonts w:hint="eastAsia" w:ascii="宋体" w:hAnsi="宋体" w:cs="Times New Roman"/>
                <w:b/>
                <w:bCs/>
                <w:color w:val="000000" w:themeColor="text1"/>
                <w:sz w:val="20"/>
                <w:szCs w:val="20"/>
                <w:highlight w:val="none"/>
                <w14:textFill>
                  <w14:solidFill>
                    <w14:schemeClr w14:val="tx1"/>
                  </w14:solidFill>
                </w14:textFill>
              </w:rPr>
              <w:t>所提供的合同须完整。</w:t>
            </w:r>
            <w:r>
              <w:rPr>
                <w:rFonts w:hint="eastAsia" w:ascii="宋体" w:hAnsi="Calibri" w:cs="宋体"/>
                <w:b/>
                <w:color w:val="000000" w:themeColor="text1"/>
                <w:sz w:val="20"/>
                <w:szCs w:val="20"/>
                <w:highlight w:val="none"/>
                <w:lang w:val="en-US" w:eastAsia="zh-CN"/>
                <w14:textFill>
                  <w14:solidFill>
                    <w14:schemeClr w14:val="tx1"/>
                  </w14:solidFill>
                </w14:textFill>
              </w:rPr>
              <w:t>提供的</w:t>
            </w:r>
            <w:r>
              <w:rPr>
                <w:rFonts w:hint="eastAsia" w:ascii="宋体" w:hAnsi="Calibri" w:cs="宋体"/>
                <w:b/>
                <w:color w:val="000000" w:themeColor="text1"/>
                <w:sz w:val="20"/>
                <w:szCs w:val="20"/>
                <w:highlight w:val="none"/>
                <w14:textFill>
                  <w14:solidFill>
                    <w14:schemeClr w14:val="tx1"/>
                  </w14:solidFill>
                </w14:textFill>
              </w:rPr>
              <w:t>合同</w:t>
            </w:r>
            <w:r>
              <w:rPr>
                <w:rFonts w:hint="eastAsia" w:ascii="宋体" w:hAnsi="Calibri" w:cs="宋体"/>
                <w:b/>
                <w:color w:val="000000" w:themeColor="text1"/>
                <w:sz w:val="20"/>
                <w:szCs w:val="20"/>
                <w:highlight w:val="none"/>
                <w:lang w:val="en-US" w:eastAsia="zh-CN"/>
                <w14:textFill>
                  <w14:solidFill>
                    <w14:schemeClr w14:val="tx1"/>
                  </w14:solidFill>
                </w14:textFill>
              </w:rPr>
              <w:t>必须真实有效</w:t>
            </w:r>
            <w:r>
              <w:rPr>
                <w:rFonts w:hint="eastAsia" w:ascii="宋体" w:hAnsi="Calibri" w:cs="宋体"/>
                <w:b/>
                <w:color w:val="000000" w:themeColor="text1"/>
                <w:sz w:val="20"/>
                <w:szCs w:val="20"/>
                <w:highlight w:val="none"/>
                <w14:textFill>
                  <w14:solidFill>
                    <w14:schemeClr w14:val="tx1"/>
                  </w14:solidFill>
                </w14:textFill>
              </w:rPr>
              <w:t>，</w:t>
            </w:r>
            <w:r>
              <w:rPr>
                <w:rFonts w:hint="eastAsia" w:ascii="Calibri" w:hAnsi="Calibri" w:cs="Times New Roman"/>
                <w:b/>
                <w:color w:val="000000" w:themeColor="text1"/>
                <w:sz w:val="20"/>
                <w:szCs w:val="20"/>
                <w:highlight w:val="none"/>
                <w14:textFill>
                  <w14:solidFill>
                    <w14:schemeClr w14:val="tx1"/>
                  </w14:solidFill>
                </w14:textFill>
              </w:rPr>
              <w:t>提供虚假材料者按无效投标处理。</w:t>
            </w:r>
            <w:r>
              <w:rPr>
                <w:rFonts w:hint="eastAsia" w:ascii="宋体" w:hAnsi="宋体" w:cs="Times New Roman"/>
                <w:b/>
                <w:color w:val="000000" w:themeColor="text1"/>
                <w:sz w:val="20"/>
                <w:szCs w:val="20"/>
                <w:highlight w:val="none"/>
                <w14:textFill>
                  <w14:solidFill>
                    <w14:schemeClr w14:val="tx1"/>
                  </w14:solidFill>
                </w14:textFill>
              </w:rPr>
              <w:t>）</w:t>
            </w:r>
          </w:p>
        </w:tc>
      </w:tr>
      <w:tr w14:paraId="6349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543" w:type="dxa"/>
            <w:tcBorders>
              <w:top w:val="single" w:color="auto" w:sz="4" w:space="0"/>
              <w:left w:val="single" w:color="auto" w:sz="4" w:space="0"/>
              <w:bottom w:val="single" w:color="auto" w:sz="4" w:space="0"/>
              <w:right w:val="single" w:color="auto" w:sz="4" w:space="0"/>
            </w:tcBorders>
            <w:noWrap w:val="0"/>
            <w:vAlign w:val="center"/>
          </w:tcPr>
          <w:p w14:paraId="066A0614">
            <w:pPr>
              <w:keepNext w:val="0"/>
              <w:keepLines w:val="0"/>
              <w:pageBreakBefore w:val="0"/>
              <w:spacing w:line="240" w:lineRule="auto"/>
              <w:jc w:val="center"/>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质保期</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FE76A5">
            <w:pPr>
              <w:keepNext w:val="0"/>
              <w:keepLines w:val="0"/>
              <w:pageBreakBefore w:val="0"/>
              <w:spacing w:line="240" w:lineRule="auto"/>
              <w:jc w:val="cente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2分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910FAC">
            <w:pPr>
              <w:keepNext w:val="0"/>
              <w:keepLines w:val="0"/>
              <w:pageBreakBefore w:val="0"/>
              <w:spacing w:line="36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本项目质保期要求三年，投标人投标时承诺质保期每增加一年的加1分，最多得2分。承诺格式自拟。</w:t>
            </w:r>
          </w:p>
        </w:tc>
      </w:tr>
      <w:tr w14:paraId="1100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3" w:type="dxa"/>
            <w:tcBorders>
              <w:top w:val="single" w:color="auto" w:sz="4" w:space="0"/>
              <w:left w:val="single" w:color="auto" w:sz="4" w:space="0"/>
              <w:bottom w:val="single" w:color="auto" w:sz="4" w:space="0"/>
              <w:right w:val="single" w:color="auto" w:sz="4" w:space="0"/>
            </w:tcBorders>
            <w:noWrap w:val="0"/>
            <w:vAlign w:val="center"/>
          </w:tcPr>
          <w:p w14:paraId="250D6C94">
            <w:pPr>
              <w:widowControl/>
              <w:spacing w:line="360" w:lineRule="auto"/>
              <w:jc w:val="center"/>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eastAsia="zh-CN"/>
                <w14:textFill>
                  <w14:solidFill>
                    <w14:schemeClr w14:val="tx1"/>
                  </w14:solidFill>
                </w14:textFill>
              </w:rPr>
              <w:t>信用承诺书</w:t>
            </w:r>
          </w:p>
        </w:tc>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C4B5F2">
            <w:pPr>
              <w:keepNext w:val="0"/>
              <w:keepLines w:val="0"/>
              <w:pageBreakBefore w:val="0"/>
              <w:spacing w:line="240" w:lineRule="auto"/>
              <w:jc w:val="cente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1分</w:t>
            </w:r>
          </w:p>
        </w:tc>
        <w:tc>
          <w:tcPr>
            <w:tcW w:w="7970"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506AD59">
            <w:pPr>
              <w:keepNext w:val="0"/>
              <w:keepLines w:val="0"/>
              <w:pageBreakBefore w:val="0"/>
              <w:widowControl/>
              <w:spacing w:line="360" w:lineRule="auto"/>
              <w:jc w:val="left"/>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投标文件中提供《盐城市政府采购事前信用承诺书》的得 1 分，未提供的不得分。</w:t>
            </w:r>
          </w:p>
        </w:tc>
      </w:tr>
    </w:tbl>
    <w:p w14:paraId="3BDB3585">
      <w:pPr>
        <w:spacing w:line="360" w:lineRule="auto"/>
        <w:rPr>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3.2、评标标准</w:t>
      </w:r>
    </w:p>
    <w:p w14:paraId="770C9A07">
      <w:pPr>
        <w:spacing w:line="360" w:lineRule="auto"/>
        <w:jc w:val="left"/>
        <w:rPr>
          <w:rFonts w:ascii="宋体" w:hAnsi="Calibri" w:cs="宋体"/>
          <w:color w:val="000000" w:themeColor="text1"/>
          <w:sz w:val="24"/>
          <w:highlight w:val="none"/>
          <w14:textFill>
            <w14:solidFill>
              <w14:schemeClr w14:val="tx1"/>
            </w14:solidFill>
          </w14:textFill>
        </w:rPr>
      </w:pPr>
    </w:p>
    <w:p w14:paraId="57A1535C">
      <w:pPr>
        <w:spacing w:line="360" w:lineRule="auto"/>
        <w:ind w:firstLine="442"/>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四、评标程序</w:t>
      </w:r>
    </w:p>
    <w:p w14:paraId="234C46C2">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评标准备</w:t>
      </w:r>
    </w:p>
    <w:p w14:paraId="2B46055C">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4.1.1 评标委员会成员到达评标现场时应在签到表上签到（或通过门禁系统签到）以证明其出席。</w:t>
      </w:r>
    </w:p>
    <w:p w14:paraId="20956625">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4.1.2 评标委员会成员首先推选一名评标委员会负责人，负责评标活动的组织领导工作。</w:t>
      </w:r>
    </w:p>
    <w:p w14:paraId="6F15D221">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4.1.3 招标人或招标代理机构应向评标委员会提供评标所需的信息和数据。评标委员会负责人应组织评标委员会成员认真研究招标文件，未在招标文件中规定的标准和方法不得作为评标的依据。</w:t>
      </w:r>
    </w:p>
    <w:p w14:paraId="333456ED">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初步评审</w:t>
      </w:r>
    </w:p>
    <w:p w14:paraId="3F26BEEC">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4.2.1评标委员会依据本章第2.1 款规定的标准对投标文件进行初步评审。</w:t>
      </w:r>
    </w:p>
    <w:p w14:paraId="34C42028">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4.2.2投标文件不符合本章第2.1款评审标准的，属于重大偏差，视为未能对招标文件作出实质性响应，应当作为无效投标予以否决。</w:t>
      </w:r>
    </w:p>
    <w:p w14:paraId="5EC4877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4.2.3对照投标人须知6.4款，投标文件有上述情况之一，视为未能对招标文件作出实质性响应，凡招标文件未明确标明无效标条款的，评标委员会不得作为判定无效投标的依据。</w:t>
      </w:r>
    </w:p>
    <w:p w14:paraId="6C482EBC">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4.2.4 投标报价有算术错误的，评标委员会按以下原则对投标报价进行修正，修正的价格经投标人书面确认后具有约束力。</w:t>
      </w:r>
    </w:p>
    <w:p w14:paraId="7D868350">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(1）投标文件中的大写金额与小写金额不一致的，以大写金额为准；</w:t>
      </w:r>
    </w:p>
    <w:p w14:paraId="29C6CE76">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(2）总价金额与依据单价计算出的结果不一致的，以单价金额为准修正总价，但单价金额小数点有明显错误的除外。</w:t>
      </w:r>
    </w:p>
    <w:p w14:paraId="36F31D30">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4.2.5只有通过初步评审的投标文件才能进入详细评审。</w:t>
      </w:r>
    </w:p>
    <w:p w14:paraId="004D5570">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 详细评审</w:t>
      </w:r>
    </w:p>
    <w:p w14:paraId="55C74234">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4.3.1 在详细评审发现符合“无效标书条款”的，应当作为无效投标予以否决，其投标报价亦不作为评标基准价的依据。</w:t>
      </w:r>
    </w:p>
    <w:p w14:paraId="713B20B4">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4.3.2 评标委员会按本章第2.2款规定的量化因素和分值进行打分，并计算出综合评估得分。</w:t>
      </w:r>
    </w:p>
    <w:p w14:paraId="31B81AB0">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4.3.3 评分分值计算保留小数点后两位，小数点后第三位“四舍五入”。</w:t>
      </w:r>
    </w:p>
    <w:p w14:paraId="32BE408D">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投标文件的澄清和补正</w:t>
      </w:r>
    </w:p>
    <w:p w14:paraId="07683E7A">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4.4.1 在评标过程中，评标委员会可以书面形式要求投标人对所提交投标文件中不明确的内容进行书面澄清或说明，或者对细微偏差进行补正。评标委员会不接受投标人主动提出的澄清、说明或补正。</w:t>
      </w:r>
    </w:p>
    <w:p w14:paraId="60956413">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4.4.2 澄清、说明和补正不得改变投标文件的实质性内容（算术性错误修正的除外）。投标人的书面澄清、说明和补正属于投标文件的组成部分。</w:t>
      </w:r>
    </w:p>
    <w:p w14:paraId="24524864">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4.4.3 评标委员会对投标人提交的澄清、说明或补正有疑问的，可以要求投标人进一步澄清、说明或补正。</w:t>
      </w:r>
    </w:p>
    <w:p w14:paraId="1AAC5799">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4.5 推荐中标候选人或直接确定中标人</w:t>
      </w:r>
    </w:p>
    <w:p w14:paraId="48BEB0A3">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4.5.1 除投标人须知前附表授权直接确定中标人外，评标委员会在推荐中标候选人时，应遵照以下原则:</w:t>
      </w:r>
    </w:p>
    <w:p w14:paraId="7463B64F">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评标委员会按照最终得分由高至低的次序排列，并根据投标人须知前附表规定的中标候选人数量，将排序在前的投标人推荐为中标候选人。</w:t>
      </w:r>
    </w:p>
    <w:p w14:paraId="52480FC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提交评标报告 </w:t>
      </w:r>
    </w:p>
    <w:p w14:paraId="34390BBE">
      <w:pPr>
        <w:spacing w:line="360" w:lineRule="auto"/>
        <w:ind w:firstLine="48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评标委员会完成评标后，应当向招标人提交书面评标报告。评标报告应当由全体评标委员会成员签字，并于评标结束时抄送有关行政监督部门。</w:t>
      </w:r>
    </w:p>
    <w:p w14:paraId="6306EFB3">
      <w:pPr>
        <w:pageBreakBefore/>
        <w:spacing w:line="520" w:lineRule="exact"/>
        <w:jc w:val="center"/>
        <w:outlineLvl w:val="0"/>
        <w:rPr>
          <w:b/>
          <w:color w:val="000000" w:themeColor="text1"/>
          <w:sz w:val="44"/>
          <w:szCs w:val="44"/>
          <w:highlight w:val="none"/>
          <w14:textFill>
            <w14:solidFill>
              <w14:schemeClr w14:val="tx1"/>
            </w14:solidFill>
          </w14:textFill>
        </w:rPr>
      </w:pPr>
      <w:bookmarkStart w:id="180" w:name="_Toc6648"/>
      <w:bookmarkStart w:id="181" w:name="_Toc26554094"/>
      <w:bookmarkStart w:id="182" w:name="_Toc16938559"/>
      <w:bookmarkStart w:id="183" w:name="_Toc513029243"/>
      <w:bookmarkStart w:id="184" w:name="_Toc120614282"/>
      <w:bookmarkStart w:id="185" w:name="_Toc10540"/>
      <w:bookmarkStart w:id="186" w:name="_Toc20823315"/>
      <w:bookmarkStart w:id="187" w:name="_Toc49090576"/>
      <w:bookmarkStart w:id="188" w:name="_Toc1236"/>
      <w:r>
        <w:rPr>
          <w:rFonts w:hint="eastAsia"/>
          <w:b/>
          <w:color w:val="000000" w:themeColor="text1"/>
          <w:sz w:val="44"/>
          <w:szCs w:val="44"/>
          <w:highlight w:val="none"/>
          <w14:textFill>
            <w14:solidFill>
              <w14:schemeClr w14:val="tx1"/>
            </w14:solidFill>
          </w14:textFill>
        </w:rPr>
        <w:t>第五章 合同主要条款</w:t>
      </w:r>
      <w:bookmarkEnd w:id="178"/>
      <w:bookmarkEnd w:id="179"/>
      <w:bookmarkEnd w:id="180"/>
      <w:bookmarkEnd w:id="181"/>
      <w:bookmarkEnd w:id="182"/>
      <w:bookmarkEnd w:id="183"/>
      <w:bookmarkEnd w:id="184"/>
      <w:bookmarkEnd w:id="185"/>
      <w:bookmarkEnd w:id="186"/>
      <w:bookmarkEnd w:id="187"/>
      <w:bookmarkEnd w:id="188"/>
    </w:p>
    <w:p w14:paraId="7834DBFE">
      <w:pPr>
        <w:pStyle w:val="2"/>
        <w:spacing w:before="0" w:after="0" w:line="360" w:lineRule="auto"/>
        <w:rPr>
          <w:rFonts w:ascii="宋体" w:hAnsi="宋体" w:cs="宋体"/>
          <w:color w:val="000000" w:themeColor="text1"/>
          <w:highlight w:val="none"/>
          <w14:textFill>
            <w14:solidFill>
              <w14:schemeClr w14:val="tx1"/>
            </w14:solidFill>
          </w14:textFill>
        </w:rPr>
      </w:pPr>
      <w:bookmarkStart w:id="189" w:name="_Toc31592"/>
      <w:bookmarkStart w:id="190" w:name="_Toc32002"/>
    </w:p>
    <w:p w14:paraId="6D98F874">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p>
    <w:p w14:paraId="376E30E4">
      <w:pPr>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14:paraId="5B6B3E88">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采购人（</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u w:val="single"/>
          <w14:textFill>
            <w14:solidFill>
              <w14:schemeClr w14:val="tx1"/>
            </w14:solidFill>
          </w14:textFill>
        </w:rPr>
        <w:t>盐城市大丰人民医院</w:t>
      </w:r>
    </w:p>
    <w:p w14:paraId="16BBEF51">
      <w:pPr>
        <w:pStyle w:val="26"/>
        <w:spacing w:line="400" w:lineRule="exact"/>
        <w:ind w:firstLine="480"/>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供应商（</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u w:val="single"/>
          <w14:textFill>
            <w14:solidFill>
              <w14:schemeClr w14:val="tx1"/>
            </w14:solidFill>
          </w14:textFill>
        </w:rPr>
        <w:t xml:space="preserve">                          </w:t>
      </w:r>
    </w:p>
    <w:p w14:paraId="4F533AB9">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根据本项目前期“三重一大”事项备案表、相关文件规定的要求进行招投标，依据《中华人民共和国民法典》等相关法律法规之规定，按照平等、自愿、公平和诚实信用的原则，甲乙双方就此次中标的</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项目事宜，依据招标文件及</w:t>
      </w:r>
      <w:r>
        <w:rPr>
          <w:rFonts w:hint="eastAsia" w:hAnsi="宋体" w:cs="宋体"/>
          <w:b/>
          <w:bCs/>
          <w:color w:val="000000" w:themeColor="text1"/>
          <w:sz w:val="24"/>
          <w:szCs w:val="24"/>
          <w:highlight w:val="none"/>
          <w:lang w:eastAsia="zh-CN"/>
          <w14:textFill>
            <w14:solidFill>
              <w14:schemeClr w14:val="tx1"/>
            </w14:solidFill>
          </w14:textFill>
        </w:rPr>
        <w:t>供应商</w:t>
      </w:r>
      <w:r>
        <w:rPr>
          <w:rFonts w:hint="eastAsia" w:hAnsi="宋体" w:cs="宋体"/>
          <w:b/>
          <w:bCs/>
          <w:color w:val="000000" w:themeColor="text1"/>
          <w:sz w:val="24"/>
          <w:szCs w:val="24"/>
          <w:highlight w:val="none"/>
          <w14:textFill>
            <w14:solidFill>
              <w14:schemeClr w14:val="tx1"/>
            </w14:solidFill>
          </w14:textFill>
        </w:rPr>
        <w:t>的投标文件和中标通知书，签订本合同书。</w:t>
      </w:r>
    </w:p>
    <w:p w14:paraId="4BAA0A5B">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一、货物内容</w:t>
      </w:r>
    </w:p>
    <w:p w14:paraId="52986791">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p>
    <w:p w14:paraId="25DBD59E">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2、技术参数：</w:t>
      </w:r>
      <w:r>
        <w:rPr>
          <w:rFonts w:hint="eastAsia" w:hAnsi="宋体" w:cs="宋体"/>
          <w:color w:val="000000" w:themeColor="text1"/>
          <w:sz w:val="24"/>
          <w:szCs w:val="24"/>
          <w:highlight w:val="none"/>
          <w:u w:val="single"/>
          <w14:textFill>
            <w14:solidFill>
              <w14:schemeClr w14:val="tx1"/>
            </w14:solidFill>
          </w14:textFill>
        </w:rPr>
        <w:t>按招标文件和投标文件中最优参数确定</w:t>
      </w:r>
    </w:p>
    <w:p w14:paraId="05104F4D">
      <w:pPr>
        <w:pStyle w:val="26"/>
        <w:spacing w:line="400" w:lineRule="exact"/>
        <w:ind w:firstLine="480"/>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4、采购数量：</w:t>
      </w:r>
      <w:r>
        <w:rPr>
          <w:rFonts w:hint="eastAsia" w:hAnsi="宋体" w:cs="宋体"/>
          <w:color w:val="000000" w:themeColor="text1"/>
          <w:sz w:val="24"/>
          <w:szCs w:val="24"/>
          <w:highlight w:val="none"/>
          <w:u w:val="single"/>
          <w14:textFill>
            <w14:solidFill>
              <w14:schemeClr w14:val="tx1"/>
            </w14:solidFill>
          </w14:textFill>
        </w:rPr>
        <w:t xml:space="preserve">                     </w:t>
      </w:r>
    </w:p>
    <w:p w14:paraId="7DD9E080">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二、合同金额</w:t>
      </w:r>
    </w:p>
    <w:p w14:paraId="3455108F">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本合同含税价总额为：</w:t>
      </w:r>
      <w:r>
        <w:rPr>
          <w:rFonts w:hint="eastAsia" w:hAnsi="宋体" w:cs="宋体"/>
          <w:color w:val="000000" w:themeColor="text1"/>
          <w:sz w:val="24"/>
          <w:szCs w:val="24"/>
          <w:highlight w:val="none"/>
          <w:u w:val="single"/>
          <w14:textFill>
            <w14:solidFill>
              <w14:schemeClr w14:val="tx1"/>
            </w14:solidFill>
          </w14:textFill>
        </w:rPr>
        <w:t>（大写）             (小写：              元)</w:t>
      </w:r>
      <w:r>
        <w:rPr>
          <w:rFonts w:hint="eastAsia" w:hAnsi="宋体" w:cs="宋体"/>
          <w:color w:val="000000" w:themeColor="text1"/>
          <w:sz w:val="24"/>
          <w:szCs w:val="24"/>
          <w:highlight w:val="none"/>
          <w14:textFill>
            <w14:solidFill>
              <w14:schemeClr w14:val="tx1"/>
            </w14:solidFill>
          </w14:textFill>
        </w:rPr>
        <w:t>。</w:t>
      </w:r>
    </w:p>
    <w:p w14:paraId="0BA277EA">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合同总价为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p>
    <w:p w14:paraId="224996F6">
      <w:pPr>
        <w:pStyle w:val="26"/>
        <w:spacing w:line="400" w:lineRule="exact"/>
        <w:ind w:firstLine="482"/>
        <w:rPr>
          <w:rFonts w:hint="eastAsia" w:hAnsi="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三、质量要求</w:t>
      </w:r>
    </w:p>
    <w:p w14:paraId="6057A96E">
      <w:pPr>
        <w:pStyle w:val="300"/>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（1）国家相关法律法规、行业标准、技术规范。 </w:t>
      </w:r>
    </w:p>
    <w:p w14:paraId="1F8BACE7">
      <w:pPr>
        <w:pStyle w:val="300"/>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（2）基于本项目采购需求编制的采购文件相关技术、服务要求、中标供应商投标文件相关响应内容。 </w:t>
      </w:r>
    </w:p>
    <w:p w14:paraId="39365228">
      <w:pPr>
        <w:pStyle w:val="300"/>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（3）产品生产厂家出具的产品说明书、技术白皮书、医疗器械注册证或备案凭证等官方技术资料（如涉及）。</w:t>
      </w:r>
    </w:p>
    <w:p w14:paraId="393C81F3">
      <w:pPr>
        <w:pStyle w:val="300"/>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p>
    <w:p w14:paraId="7636A460">
      <w:pPr>
        <w:spacing w:line="400" w:lineRule="exact"/>
        <w:ind w:firstLine="482"/>
        <w:outlineLvl w:val="0"/>
        <w:rPr>
          <w:rFonts w:hint="eastAsia"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（5）按照《财政部关于进一步加强政府采购需求和履约验收管理的指导意见》（财库〔2016〕205号）的要求进行验收。</w:t>
      </w:r>
    </w:p>
    <w:p w14:paraId="2AE57319">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四、合同文件构成：</w:t>
      </w:r>
    </w:p>
    <w:p w14:paraId="45944B99">
      <w:pPr>
        <w:spacing w:line="4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本协议书与下列文件一起构成合同文件：</w:t>
      </w:r>
    </w:p>
    <w:p w14:paraId="121AE9D7">
      <w:pPr>
        <w:spacing w:line="40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（1）招标文件；</w:t>
      </w:r>
    </w:p>
    <w:p w14:paraId="6F3097C3">
      <w:pPr>
        <w:spacing w:line="40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（2）中标通知书；</w:t>
      </w:r>
    </w:p>
    <w:p w14:paraId="63FA482D">
      <w:pPr>
        <w:spacing w:line="40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（3）投标文件； </w:t>
      </w:r>
    </w:p>
    <w:p w14:paraId="4AC535F7">
      <w:pPr>
        <w:spacing w:line="40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（4）技术标准和要求；</w:t>
      </w:r>
    </w:p>
    <w:p w14:paraId="5D2BD012">
      <w:pPr>
        <w:spacing w:line="40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（5）已标价报价明细表；</w:t>
      </w:r>
    </w:p>
    <w:p w14:paraId="3CCE957D">
      <w:pPr>
        <w:spacing w:line="40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（6）其他文件。</w:t>
      </w:r>
    </w:p>
    <w:p w14:paraId="24DFB33E">
      <w:pPr>
        <w:spacing w:line="400" w:lineRule="exac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在合同订立及履行过程中形成的与合同有关的文件均构成合同文件组成部分。上述各项合同文件包括合同当事人就该项合同文件所作出的补充和修改，属于同一类内容的文件，应以最新签署的为准。</w:t>
      </w:r>
    </w:p>
    <w:p w14:paraId="3DE7DCCE">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五、技术资料</w:t>
      </w:r>
    </w:p>
    <w:p w14:paraId="172E78AB">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应按招标文件规定的时间向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提供使用货物的有关技术资料。</w:t>
      </w:r>
    </w:p>
    <w:p w14:paraId="1AB3CDC4">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2、没有</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事先书面同意，</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不得将由采购人提供的有关合同或任何合同条文、规格、样品或资料提供给与履行本合同无关的任何其他人。即使向履行本合同有关的人员提供，也应注意保密并限于履行合同的必需范围。</w:t>
      </w:r>
    </w:p>
    <w:p w14:paraId="12DAD344">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六、知识产权</w:t>
      </w:r>
    </w:p>
    <w:p w14:paraId="48A0BFBD">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应保证所提供的货物或其任何一部分均不会侵犯任何第三方的知识产权。</w:t>
      </w:r>
    </w:p>
    <w:p w14:paraId="354C9C40">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若发生侵害第三方权利的情况，由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独立负责与第三方交涉并承担由此产生的全部法律和经济责任；如果</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因使用该货物而导致被第三方追诉，有权向</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主张权利以及要求其承担由此造成的损失。</w:t>
      </w:r>
    </w:p>
    <w:p w14:paraId="093DEA01">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七、产权担保</w:t>
      </w:r>
    </w:p>
    <w:p w14:paraId="064E2A31">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保证所交付的货物的所有权完全属于供应商且无任何抵押、查封等产权瑕疵。</w:t>
      </w:r>
    </w:p>
    <w:p w14:paraId="7984ECB1">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八、履约保证金</w:t>
      </w:r>
    </w:p>
    <w:p w14:paraId="18A1DE45">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缴纳人民币</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元作为本合同的履约保证金。(备注:合同金额的10%，采购人应当对AA评级及以上政府采购供应商(需提供信用管理部门备案的第三方信用报告)免收履约保证金或降低履约保证金缴纳比例。（合同价款的5%）)</w:t>
      </w:r>
    </w:p>
    <w:p w14:paraId="5245E40B">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8.2 缴纳方式:履约保证金</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t>
      </w:r>
      <w:r>
        <w:rPr>
          <w:rFonts w:hint="eastAsia" w:hAnsi="宋体" w:cs="宋体"/>
          <w:color w:val="000000" w:themeColor="text1"/>
          <w:sz w:val="24"/>
          <w:szCs w:val="24"/>
          <w:highlight w:val="none"/>
          <w:lang w:val="en-US" w:eastAsia="zh-CN"/>
          <w14:textFill>
            <w14:solidFill>
              <w14:schemeClr w14:val="tx1"/>
            </w14:solidFill>
          </w14:textFill>
        </w:rPr>
        <w:t>www</w:t>
      </w:r>
      <w:r>
        <w:rPr>
          <w:rFonts w:hint="eastAsia" w:hAnsi="宋体" w:cs="宋体"/>
          <w:color w:val="000000" w:themeColor="text1"/>
          <w:sz w:val="24"/>
          <w:szCs w:val="24"/>
          <w:highlight w:val="none"/>
          <w14:textFill>
            <w14:solidFill>
              <w14:schemeClr w14:val="tx1"/>
            </w14:solidFill>
          </w14:textFill>
        </w:rPr>
        <w:t>.jsdzbh.com)在线申请履约保函(保险)。</w:t>
      </w:r>
    </w:p>
    <w:p w14:paraId="00F2B094">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8.3履约保证金的退还：</w:t>
      </w:r>
    </w:p>
    <w:p w14:paraId="3D1A6EB9">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8.3.1方式：无息退还至</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缴纳履约保证金的账户。如为保函，在到期时自行失效。</w:t>
      </w:r>
    </w:p>
    <w:p w14:paraId="12D99418">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8.3.2时间：验收合格且</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收到发票后30日内。</w:t>
      </w:r>
    </w:p>
    <w:p w14:paraId="2A939B40">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8.3.3条件：项目经</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验收合格。</w:t>
      </w:r>
    </w:p>
    <w:p w14:paraId="3402ED97">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8.3.4不予退还情形：</w:t>
      </w:r>
    </w:p>
    <w:p w14:paraId="387B7CE3">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除不可抗力情况外，</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出现下列情形之一的，其履约保证金，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将视情节决定不予退还或部分不予退还。</w:t>
      </w:r>
    </w:p>
    <w:p w14:paraId="0818C1C9">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无正当理由拒绝签订合同的，或者在签订合同时向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提出附加条件或者更改合同实质性内容要求的；</w:t>
      </w:r>
    </w:p>
    <w:p w14:paraId="52C68388">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不履行与</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订立的合同的；</w:t>
      </w:r>
    </w:p>
    <w:p w14:paraId="4CD442AF">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所供货物或服务不符合招标文件规定要求的；</w:t>
      </w:r>
    </w:p>
    <w:p w14:paraId="57FB4964">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采取欺骗、弄虚作假方式投标的或与其它投标人串通投标的；</w:t>
      </w:r>
    </w:p>
    <w:p w14:paraId="321AE7E6">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（5）</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将合同内容转包、违法分包的；</w:t>
      </w:r>
    </w:p>
    <w:p w14:paraId="1DCF4CFA">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故意捏造事实或伪造证明材料，进行虚假恶意投诉或反映的。</w:t>
      </w:r>
    </w:p>
    <w:p w14:paraId="5CF59A91">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九、转包或分包</w:t>
      </w:r>
    </w:p>
    <w:p w14:paraId="0288FA9A">
      <w:pPr>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1、本合同范围的货物，应由</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直接供应，不得转让他人供应；</w:t>
      </w:r>
    </w:p>
    <w:p w14:paraId="1999DBBF">
      <w:pPr>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2、除非得到</w:t>
      </w:r>
      <w:r>
        <w:rPr>
          <w:rFonts w:hint="eastAsia" w:ascii="宋体" w:hAnsi="宋体" w:cs="宋体"/>
          <w:color w:val="000000" w:themeColor="text1"/>
          <w:sz w:val="24"/>
          <w:highlight w:val="none"/>
          <w:lang w:eastAsia="zh-CN"/>
          <w14:textFill>
            <w14:solidFill>
              <w14:schemeClr w14:val="tx1"/>
            </w14:solidFill>
          </w14:textFill>
        </w:rPr>
        <w:t>采购人</w:t>
      </w:r>
      <w:r>
        <w:rPr>
          <w:rFonts w:hint="eastAsia" w:ascii="宋体" w:hAnsi="宋体" w:cs="宋体"/>
          <w:color w:val="000000" w:themeColor="text1"/>
          <w:sz w:val="24"/>
          <w:highlight w:val="none"/>
          <w14:textFill>
            <w14:solidFill>
              <w14:schemeClr w14:val="tx1"/>
            </w14:solidFill>
          </w14:textFill>
        </w:rPr>
        <w:t>的书面同意，</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不得将本合同范围的货物全部或部分分包给他人供应；</w:t>
      </w:r>
    </w:p>
    <w:p w14:paraId="2F157D36">
      <w:pPr>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3、如有转让和未经</w:t>
      </w:r>
      <w:r>
        <w:rPr>
          <w:rFonts w:hint="eastAsia" w:ascii="宋体" w:hAnsi="宋体" w:cs="宋体"/>
          <w:color w:val="000000" w:themeColor="text1"/>
          <w:sz w:val="24"/>
          <w:highlight w:val="none"/>
          <w:lang w:eastAsia="zh-CN"/>
          <w14:textFill>
            <w14:solidFill>
              <w14:schemeClr w14:val="tx1"/>
            </w14:solidFill>
          </w14:textFill>
        </w:rPr>
        <w:t>采购人</w:t>
      </w:r>
      <w:r>
        <w:rPr>
          <w:rFonts w:hint="eastAsia" w:ascii="宋体" w:hAnsi="宋体" w:cs="宋体"/>
          <w:color w:val="000000" w:themeColor="text1"/>
          <w:sz w:val="24"/>
          <w:highlight w:val="none"/>
          <w14:textFill>
            <w14:solidFill>
              <w14:schemeClr w14:val="tx1"/>
            </w14:solidFill>
          </w14:textFill>
        </w:rPr>
        <w:t>同意的分包行为，</w:t>
      </w:r>
      <w:r>
        <w:rPr>
          <w:rFonts w:hint="eastAsia" w:ascii="宋体" w:hAnsi="宋体" w:cs="宋体"/>
          <w:color w:val="000000" w:themeColor="text1"/>
          <w:sz w:val="24"/>
          <w:highlight w:val="none"/>
          <w:lang w:eastAsia="zh-CN"/>
          <w14:textFill>
            <w14:solidFill>
              <w14:schemeClr w14:val="tx1"/>
            </w14:solidFill>
          </w14:textFill>
        </w:rPr>
        <w:t>采购人</w:t>
      </w:r>
      <w:r>
        <w:rPr>
          <w:rFonts w:hint="eastAsia" w:ascii="宋体" w:hAnsi="宋体" w:cs="宋体"/>
          <w:color w:val="000000" w:themeColor="text1"/>
          <w:sz w:val="24"/>
          <w:highlight w:val="none"/>
          <w14:textFill>
            <w14:solidFill>
              <w14:schemeClr w14:val="tx1"/>
            </w14:solidFill>
          </w14:textFill>
        </w:rPr>
        <w:t>有权单方解除合同，不返还履约保证金并追究</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的违约责任。</w:t>
      </w:r>
    </w:p>
    <w:p w14:paraId="0276612C">
      <w:pPr>
        <w:pStyle w:val="26"/>
        <w:spacing w:line="400" w:lineRule="exact"/>
        <w:ind w:firstLine="482"/>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十、合同履行期、交货方式及交货地点</w:t>
      </w:r>
    </w:p>
    <w:p w14:paraId="00A928D7">
      <w:pPr>
        <w:pStyle w:val="26"/>
        <w:spacing w:line="400" w:lineRule="exact"/>
        <w:ind w:firstLine="480"/>
        <w:rPr>
          <w:rFonts w:hint="eastAsia"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hAnsi="宋体" w:cs="宋体"/>
          <w:color w:val="000000" w:themeColor="text1"/>
          <w:sz w:val="24"/>
          <w:szCs w:val="24"/>
          <w:highlight w:val="none"/>
          <w14:textFill>
            <w14:solidFill>
              <w14:schemeClr w14:val="tx1"/>
            </w14:solidFill>
          </w14:textFill>
        </w:rPr>
        <w:t>合同履行期：</w:t>
      </w:r>
    </w:p>
    <w:p w14:paraId="4613811F">
      <w:pPr>
        <w:pStyle w:val="26"/>
        <w:spacing w:line="400" w:lineRule="exact"/>
        <w:ind w:firstLine="48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签订合同后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2</w:t>
      </w:r>
      <w:r>
        <w:rPr>
          <w:rFonts w:hint="eastAsia" w:hAnsi="宋体" w:cs="宋体"/>
          <w:color w:val="000000" w:themeColor="text1"/>
          <w:sz w:val="24"/>
          <w:szCs w:val="24"/>
          <w:highlight w:val="none"/>
          <w:u w:val="single"/>
          <w14:textFill>
            <w14:solidFill>
              <w14:schemeClr w14:val="tx1"/>
            </w14:solidFill>
          </w14:textFill>
        </w:rPr>
        <w:t xml:space="preserve">0 </w:t>
      </w:r>
      <w:r>
        <w:rPr>
          <w:rFonts w:hint="eastAsia" w:hAnsi="宋体" w:cs="宋体"/>
          <w:color w:val="000000" w:themeColor="text1"/>
          <w:sz w:val="24"/>
          <w:szCs w:val="24"/>
          <w:highlight w:val="none"/>
          <w14:textFill>
            <w14:solidFill>
              <w14:schemeClr w14:val="tx1"/>
            </w14:solidFill>
          </w14:textFill>
        </w:rPr>
        <w:t>日历天内完成所需设备的采购、供应、运输、安装、调试等相关伴随服务，并通过采购人的验收</w:t>
      </w:r>
    </w:p>
    <w:p w14:paraId="0E112A87">
      <w:pPr>
        <w:pStyle w:val="26"/>
        <w:spacing w:line="400" w:lineRule="exact"/>
        <w:ind w:firstLine="48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2、交货方式：全部货物到现场安装调试完毕交付</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w:t>
      </w:r>
    </w:p>
    <w:p w14:paraId="7594B3EE">
      <w:pPr>
        <w:pStyle w:val="26"/>
        <w:spacing w:line="400" w:lineRule="exact"/>
        <w:ind w:firstLine="48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3、交货地点：</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指定地点。</w:t>
      </w:r>
    </w:p>
    <w:p w14:paraId="3BF37C61">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4、保证货物使用及维修所需的全套技术资料和文件，至少应包括以下内容：货物清单；出厂合格证；操作的标识和中文标注；使用中文说明书；使用维修保养中文说明书。</w:t>
      </w:r>
    </w:p>
    <w:p w14:paraId="7FFD7F9D">
      <w:pPr>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5、其他必备材料和必备工具、货物等。</w:t>
      </w:r>
    </w:p>
    <w:p w14:paraId="3860BF81">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十一、付款方式及结算方式：</w:t>
      </w:r>
    </w:p>
    <w:p w14:paraId="2B1AEE54">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付款方式：本项目预付款为30%，货物安装调试完成并经</w:t>
      </w:r>
      <w:r>
        <w:rPr>
          <w:rFonts w:hint="eastAsia" w:ascii="宋体" w:hAnsi="宋体" w:cs="宋体"/>
          <w:b/>
          <w:bCs/>
          <w:color w:val="000000" w:themeColor="text1"/>
          <w:sz w:val="24"/>
          <w:highlight w:val="none"/>
          <w:lang w:eastAsia="zh-CN"/>
          <w14:textFill>
            <w14:solidFill>
              <w14:schemeClr w14:val="tx1"/>
            </w14:solidFill>
          </w14:textFill>
        </w:rPr>
        <w:t>采购人</w:t>
      </w:r>
      <w:r>
        <w:rPr>
          <w:rFonts w:hint="eastAsia" w:ascii="宋体" w:hAnsi="宋体" w:cs="宋体"/>
          <w:b/>
          <w:bCs/>
          <w:color w:val="000000" w:themeColor="text1"/>
          <w:sz w:val="24"/>
          <w:highlight w:val="none"/>
          <w14:textFill>
            <w14:solidFill>
              <w14:schemeClr w14:val="tx1"/>
            </w14:solidFill>
          </w14:textFill>
        </w:rPr>
        <w:t>验收合格付至合同价款的80%，验收合格满一年后付至合同价款的95%，余款在</w:t>
      </w:r>
      <w:r>
        <w:rPr>
          <w:rFonts w:hint="eastAsia" w:ascii="宋体" w:hAnsi="宋体" w:cs="宋体"/>
          <w:b/>
          <w:bCs/>
          <w:color w:val="000000" w:themeColor="text1"/>
          <w:sz w:val="24"/>
          <w:highlight w:val="none"/>
          <w:lang w:val="en-US" w:eastAsia="zh-CN"/>
          <w14:textFill>
            <w14:solidFill>
              <w14:schemeClr w14:val="tx1"/>
            </w14:solidFill>
          </w14:textFill>
        </w:rPr>
        <w:t>质保期满</w:t>
      </w:r>
      <w:r>
        <w:rPr>
          <w:rFonts w:hint="eastAsia" w:ascii="宋体" w:hAnsi="宋体" w:cs="宋体"/>
          <w:b/>
          <w:bCs/>
          <w:color w:val="000000" w:themeColor="text1"/>
          <w:sz w:val="24"/>
          <w:highlight w:val="none"/>
          <w14:textFill>
            <w14:solidFill>
              <w14:schemeClr w14:val="tx1"/>
            </w14:solidFill>
          </w14:textFill>
        </w:rPr>
        <w:t>后且使用无质量问题付清。</w:t>
      </w:r>
    </w:p>
    <w:p w14:paraId="05A5E7FB">
      <w:pPr>
        <w:spacing w:line="360" w:lineRule="exact"/>
        <w:ind w:firstLine="442"/>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付款时</w:t>
      </w:r>
      <w:r>
        <w:rPr>
          <w:rFonts w:hint="eastAsia" w:ascii="宋体" w:hAnsi="宋体" w:cs="宋体"/>
          <w:b/>
          <w:color w:val="000000" w:themeColor="text1"/>
          <w:sz w:val="22"/>
          <w:szCs w:val="22"/>
          <w:highlight w:val="none"/>
          <w:lang w:eastAsia="zh-CN"/>
          <w14:textFill>
            <w14:solidFill>
              <w14:schemeClr w14:val="tx1"/>
            </w14:solidFill>
          </w14:textFill>
        </w:rPr>
        <w:t>供应商</w:t>
      </w:r>
      <w:r>
        <w:rPr>
          <w:rFonts w:hint="eastAsia" w:ascii="宋体" w:hAnsi="宋体" w:cs="宋体"/>
          <w:b/>
          <w:color w:val="000000" w:themeColor="text1"/>
          <w:sz w:val="22"/>
          <w:szCs w:val="22"/>
          <w:highlight w:val="none"/>
          <w14:textFill>
            <w14:solidFill>
              <w14:schemeClr w14:val="tx1"/>
            </w14:solidFill>
          </w14:textFill>
        </w:rPr>
        <w:t>须提供正规发票（采购人原则上自收到发票后30个工作日内将资金支付到合同约定的供应商账户）。合同款一律通过银行非现金结算，结算方式：转账。（按以上进度付款无任何利息补偿）</w:t>
      </w:r>
    </w:p>
    <w:p w14:paraId="20FA7739">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十二、税费</w:t>
      </w:r>
    </w:p>
    <w:p w14:paraId="37F3975C">
      <w:pPr>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本合同执行中相关的一切税费均由</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负担。</w:t>
      </w:r>
    </w:p>
    <w:p w14:paraId="2A84D775">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十三、质量保证及售后服务</w:t>
      </w:r>
    </w:p>
    <w:p w14:paraId="523DD9CC">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应按招标文件规定的货物性能、技术要求、质量标准（如</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投标标准高于招标标准的按</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标准执行）向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提供未经使用的全新产品。</w:t>
      </w:r>
    </w:p>
    <w:p w14:paraId="0475E587">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提供的货物在质保期内因货物本身的质量问题发生故障，</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应负责免费更换。对达不到技术要求者，根据实际情况，经双方协商，可按以下办法处理：</w:t>
      </w:r>
    </w:p>
    <w:p w14:paraId="772B027B">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⑴更    换：由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承担所发生的全部费用。</w:t>
      </w:r>
    </w:p>
    <w:p w14:paraId="592C5E86">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⑵贬值处理：由双方合议定价。</w:t>
      </w:r>
    </w:p>
    <w:p w14:paraId="304460A3">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⑶退货处理：</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应退还采购人支付的合同款，同时应承担该货物的直接费用（运输、保险、检验、货款利息及银行手续费等）。</w:t>
      </w:r>
    </w:p>
    <w:p w14:paraId="1F844E85">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3、如在使用过程中发生质量问题，</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在接到</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通知后在</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小时内到达</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指定现场进行处置。</w:t>
      </w:r>
    </w:p>
    <w:p w14:paraId="2EC07E6D">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4、在质保期内，</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应对设备出现的质量及安全问题负责处理解决并承担一切费用。</w:t>
      </w:r>
    </w:p>
    <w:p w14:paraId="21729569">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5、售后服务及要求：如在质保期内使用过程中发生质量问题，凡属一切自身质量缺陷所造成运行故障均免费维修或免费更换。</w:t>
      </w:r>
    </w:p>
    <w:p w14:paraId="07AC8DCD">
      <w:pPr>
        <w:pStyle w:val="26"/>
        <w:spacing w:line="400" w:lineRule="exact"/>
        <w:ind w:firstLine="480"/>
        <w:rPr>
          <w:rFonts w:hint="eastAsia" w:ascii="宋体" w:hAnsi="宋体" w:cs="宋体"/>
          <w:b/>
          <w:bCs/>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6、本项目质保期为不少于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年，质保期自项目验收合格之日起计算。</w:t>
      </w:r>
    </w:p>
    <w:p w14:paraId="241F4B24">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十四、调试和验收</w:t>
      </w:r>
    </w:p>
    <w:p w14:paraId="50011056">
      <w:pPr>
        <w:pStyle w:val="26"/>
        <w:spacing w:line="400" w:lineRule="exact"/>
        <w:ind w:firstLine="48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对</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提交的货物依据招标文件上的技术规格要求和国家有关规定及技术要求有关质量标准进行现场初步验收，外观、说明书符合招标文件技术要求的，给予签收，初步验收不合格的不予签收。</w:t>
      </w:r>
      <w:r>
        <w:rPr>
          <w:rFonts w:hint="eastAsia" w:hAnsi="宋体" w:cs="宋体"/>
          <w:color w:val="000000" w:themeColor="text1"/>
          <w:sz w:val="24"/>
          <w:szCs w:val="24"/>
          <w:highlight w:val="none"/>
          <w:lang w:val="en-US" w:eastAsia="zh-CN"/>
          <w14:textFill>
            <w14:solidFill>
              <w14:schemeClr w14:val="tx1"/>
            </w14:solidFill>
          </w14:textFill>
        </w:rPr>
        <w:t>待供应商完成本项目涉及的所有设备的安装、调试并具备验收条件后，于5日内通知采购人验收，采购人接供应商通知后10日内组织验收</w:t>
      </w:r>
      <w:r>
        <w:rPr>
          <w:rFonts w:hint="eastAsia" w:hAnsi="宋体" w:cs="宋体"/>
          <w:color w:val="000000" w:themeColor="text1"/>
          <w:sz w:val="24"/>
          <w:szCs w:val="24"/>
          <w:highlight w:val="none"/>
          <w14:textFill>
            <w14:solidFill>
              <w14:schemeClr w14:val="tx1"/>
            </w14:solidFill>
          </w14:textFill>
        </w:rPr>
        <w:t>。</w:t>
      </w:r>
    </w:p>
    <w:p w14:paraId="58593D90">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交货前应对产品作出全面检查和对验收文件进行整理，并列出清单，作为</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收货验收和使用的技术条件依据，检验的结果应随货物交付</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w:t>
      </w:r>
    </w:p>
    <w:p w14:paraId="1AE39B55">
      <w:pPr>
        <w:pStyle w:val="26"/>
        <w:spacing w:line="400" w:lineRule="exact"/>
        <w:ind w:firstLine="48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对</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提供的货物在进行使用前调试时，</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为采购人提供使用操作培训，保证受训人员能对设备进行熟练操作及日常维护；为采购人维修工程师提供技术培训，直至其具备保障设备正常运行和排除一般性故障的能力。</w:t>
      </w:r>
      <w:r>
        <w:rPr>
          <w:rFonts w:hint="eastAsia" w:hAnsi="宋体" w:cs="宋体"/>
          <w:color w:val="000000" w:themeColor="text1"/>
          <w:sz w:val="24"/>
          <w:szCs w:val="24"/>
          <w:highlight w:val="none"/>
          <w14:textFill>
            <w14:solidFill>
              <w14:schemeClr w14:val="tx1"/>
            </w14:solidFill>
          </w14:textFill>
        </w:rPr>
        <w:t>并协助</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调试，直到符合技术要求，</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才做最终验收。</w:t>
      </w:r>
    </w:p>
    <w:p w14:paraId="72CF99C8">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在设备安装调试过程中必须确保安全，</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自行承担设备安装调试过程中的质量、任何状况下的安全责任，发生的一切问题和责任与</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无关，相关一切费用均由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自理。若</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不能及时处理所发生的问题和责任，并且影响到项目总体进度时，</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有权处理相关事务，所发生的费用在支付合同款时作相应扣除。</w:t>
      </w:r>
    </w:p>
    <w:p w14:paraId="73325467">
      <w:pPr>
        <w:pStyle w:val="26"/>
        <w:spacing w:line="400" w:lineRule="exact"/>
        <w:ind w:firstLine="480"/>
        <w:rPr>
          <w:rFonts w:hint="eastAsia" w:hAnsi="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5、验收时</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必须在现场，验收完毕后作出验收结果报告，验收费用由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负责。</w:t>
      </w:r>
    </w:p>
    <w:p w14:paraId="0A893229">
      <w:pPr>
        <w:pStyle w:val="26"/>
        <w:spacing w:line="400" w:lineRule="exact"/>
        <w:ind w:firstLine="480"/>
        <w:rPr>
          <w:rFonts w:hint="eastAsia" w:hAnsi="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验收组织方式：自行验收，可邀请本项目的其他供应商参加。</w:t>
      </w:r>
    </w:p>
    <w:p w14:paraId="66F09CBD">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十五、货物包装、发运及运输</w:t>
      </w:r>
    </w:p>
    <w:p w14:paraId="53A4F197">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应在货物发运前对其进行满足运输距离、防潮、防震、防锈和防破损装卸等要求包装，以保证货物安全运达采购人指定地点。</w:t>
      </w:r>
    </w:p>
    <w:p w14:paraId="4468829B">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2、使用说明书、质量检验证明书、随配附件和工具以及清单一并附于货物内，安装调试完毕后按设备清单逐一按序交付给</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w:t>
      </w:r>
    </w:p>
    <w:p w14:paraId="6693C74E">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在货物发运手续办理完毕后24小时内或货到48小时前通知</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，以准备核验货物。</w:t>
      </w:r>
    </w:p>
    <w:p w14:paraId="7521A213">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4、货物在交付</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前发生的风险均由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负责。</w:t>
      </w:r>
    </w:p>
    <w:p w14:paraId="767D4138">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5、货物在规定的交付期限内由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送达</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指定的地点并安装调试完毕并经验收合格后视为交付，</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同时须通知</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货物已送达。</w:t>
      </w:r>
    </w:p>
    <w:p w14:paraId="5526C5FF">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十六、违约责任</w:t>
      </w:r>
    </w:p>
    <w:p w14:paraId="47E17D08">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1、按该项目供货期要求,</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每逾期1天交付，应向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支付该项目合同总价的0.1％作为违约金，由</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从待付合同款中进行相应扣除；逾期超过约定供货期10个工作日不能交货的，</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有权单方解除合同且无须向</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承担任何责任。</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因逾期交货或因其他违约行为导致</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解除合同的，</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支付该合同总值5%的违约金，如造成</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损失超过违约金的，超出部分由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继续赔偿。</w:t>
      </w:r>
    </w:p>
    <w:p w14:paraId="07ABAABE">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所交付的货物品种、型号、规格、技术参数、质量不符合合同规定及招标文件规定标准的，</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有权拒收该批货物并可单方面解除合同，同时扣除履约保证金。</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如有虚假响应、以次充好等行为，</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有权将该单位移送相关主管部门处理，同时</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应向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支付不少于合同总价30%的赔偿金。</w:t>
      </w:r>
    </w:p>
    <w:p w14:paraId="57809209">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每延期1天支付合同价款，应向</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支付该项目合同总价的万分之四作为违约金。</w:t>
      </w:r>
    </w:p>
    <w:p w14:paraId="794EF889">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在供货期间如发生安全事故，一切经济责任和法律责任皆由</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承担。</w:t>
      </w:r>
    </w:p>
    <w:p w14:paraId="544B12AA">
      <w:pPr>
        <w:pStyle w:val="26"/>
        <w:spacing w:line="400" w:lineRule="exact"/>
        <w:ind w:firstLine="480"/>
        <w:rPr>
          <w:rFonts w:hAnsi="宋体" w:cs="宋体"/>
          <w:b/>
          <w:bCs/>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5、在合同履行过程中若有一方违反本合同约定，违约方除承担违约责任赔偿外，还需承担守约方维权产生的费用包括但不限于诉讼费、保全费、保全保险费、律师费等一切费用。</w:t>
      </w:r>
    </w:p>
    <w:p w14:paraId="0F71D5CC">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十七、不可抗力事件处理</w:t>
      </w:r>
    </w:p>
    <w:p w14:paraId="56DC4462">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p>
    <w:p w14:paraId="1FD25860">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十八、争议解决</w:t>
      </w:r>
    </w:p>
    <w:p w14:paraId="474F7F82">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双方在执行合同中所发生的一切争议，应通过协商解决。如协商不成，甲乙双方均有权向合同签订地盐城市大丰区人民法院提起诉讼。合同签订地：盐城市大丰区。</w:t>
      </w:r>
    </w:p>
    <w:p w14:paraId="0278136A">
      <w:pPr>
        <w:spacing w:line="400" w:lineRule="exact"/>
        <w:ind w:firstLine="482"/>
        <w:outlineLvl w:val="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十九、合同生效及其他</w:t>
      </w:r>
    </w:p>
    <w:p w14:paraId="36C5C1CE">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1、合同经双方法定代表人或授权代表签字并加盖单位公章后生效。</w:t>
      </w:r>
    </w:p>
    <w:p w14:paraId="1663D4B5">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保留适度调整采购需求的权利，本项目最终按实际到场货物数量、</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的投标单价结算。</w:t>
      </w:r>
    </w:p>
    <w:p w14:paraId="352D0DA7">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3、本合同未尽事宜，遵照《中华人民共和国民法典》有关条文执行。</w:t>
      </w:r>
    </w:p>
    <w:p w14:paraId="13E57AB9">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4、本合同正本一式陆份，具有同等法律效力，甲乙双方各执叁份。</w:t>
      </w:r>
    </w:p>
    <w:p w14:paraId="06B2AD7A">
      <w:pPr>
        <w:pStyle w:val="26"/>
        <w:spacing w:line="400" w:lineRule="exact"/>
        <w:ind w:firstLine="480"/>
        <w:rPr>
          <w:rFonts w:hAnsi="宋体" w:cs="宋体"/>
          <w:color w:val="000000" w:themeColor="text1"/>
          <w:sz w:val="24"/>
          <w:szCs w:val="24"/>
          <w:highlight w:val="none"/>
          <w14:textFill>
            <w14:solidFill>
              <w14:schemeClr w14:val="tx1"/>
            </w14:solidFill>
          </w14:textFill>
        </w:rPr>
      </w:pPr>
    </w:p>
    <w:p w14:paraId="7CF175E0">
      <w:pPr>
        <w:pStyle w:val="26"/>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 xml:space="preserve">： </w:t>
      </w:r>
    </w:p>
    <w:p w14:paraId="3442B18C">
      <w:pPr>
        <w:pStyle w:val="26"/>
        <w:tabs>
          <w:tab w:val="left" w:pos="4962"/>
        </w:tabs>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法定（授权）代表人：                     法定（授权）代表人：</w:t>
      </w:r>
    </w:p>
    <w:p w14:paraId="6D10DF23">
      <w:pPr>
        <w:pStyle w:val="26"/>
        <w:tabs>
          <w:tab w:val="left" w:pos="4962"/>
        </w:tabs>
        <w:spacing w:line="40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签字日期：      年  月  日               签字日期：      年  月  日</w:t>
      </w:r>
    </w:p>
    <w:p w14:paraId="32BE8382">
      <w:pPr>
        <w:pStyle w:val="26"/>
        <w:tabs>
          <w:tab w:val="left" w:pos="4962"/>
        </w:tabs>
        <w:spacing w:line="400" w:lineRule="exact"/>
        <w:ind w:firstLine="480"/>
        <w:rPr>
          <w:rFonts w:hAnsi="宋体" w:cs="宋体"/>
          <w:color w:val="000000" w:themeColor="text1"/>
          <w:sz w:val="24"/>
          <w:szCs w:val="24"/>
          <w:highlight w:val="none"/>
          <w14:textFill>
            <w14:solidFill>
              <w14:schemeClr w14:val="tx1"/>
            </w14:solidFill>
          </w14:textFill>
        </w:rPr>
      </w:pPr>
    </w:p>
    <w:p w14:paraId="1F27FB49">
      <w:pPr>
        <w:pStyle w:val="26"/>
        <w:tabs>
          <w:tab w:val="left" w:pos="4962"/>
        </w:tabs>
        <w:spacing w:line="400" w:lineRule="exact"/>
        <w:ind w:firstLine="480"/>
        <w:rPr>
          <w:rFonts w:hAnsi="宋体" w:cs="宋体"/>
          <w:color w:val="000000" w:themeColor="text1"/>
          <w:sz w:val="24"/>
          <w:szCs w:val="24"/>
          <w:highlight w:val="none"/>
          <w14:textFill>
            <w14:solidFill>
              <w14:schemeClr w14:val="tx1"/>
            </w14:solidFill>
          </w14:textFill>
        </w:rPr>
      </w:pPr>
    </w:p>
    <w:p w14:paraId="2E9A4E5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1AC37354">
      <w:pPr>
        <w:pStyle w:val="26"/>
        <w:spacing w:after="120"/>
        <w:jc w:val="center"/>
        <w:rPr>
          <w:rFonts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廉 政 合 同</w:t>
      </w:r>
    </w:p>
    <w:p w14:paraId="053F5A1A">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采购人</w:t>
      </w:r>
      <w:r>
        <w:rPr>
          <w:rFonts w:hint="eastAsia" w:ascii="宋体" w:hAnsi="宋体" w:cs="宋体"/>
          <w:color w:val="000000" w:themeColor="text1"/>
          <w:sz w:val="24"/>
          <w:highlight w:val="none"/>
          <w14:textFill>
            <w14:solidFill>
              <w14:schemeClr w14:val="tx1"/>
            </w14:solidFill>
          </w14:textFill>
        </w:rPr>
        <w:t>：盐城市大丰人民医院</w:t>
      </w:r>
    </w:p>
    <w:p w14:paraId="0F7F75F9">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 xml:space="preserve">： </w:t>
      </w:r>
    </w:p>
    <w:p w14:paraId="7A6D7BCD">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为强化抓源治本工作力度，从制度机制上进一步规范</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采购行为，杜绝不廉洁行为，特订立本合同，双方遵照执行。</w:t>
      </w:r>
    </w:p>
    <w:p w14:paraId="0B095985">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双方必须严格遵守国家法律、法规、政策及各项廉政规定，恪守职业道德规范。</w:t>
      </w:r>
    </w:p>
    <w:p w14:paraId="2BD4622F">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双方在具体项目采购行为中，必须严格遵守招投标法规定的原则、方式、程序，保证公平、公正、公开。</w:t>
      </w:r>
    </w:p>
    <w:p w14:paraId="7E7FAA01">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双方不得相互串通，损害国家利益、社会公共利益及其他当事人的合法权益。</w:t>
      </w:r>
    </w:p>
    <w:p w14:paraId="4C183AB0">
      <w:pPr>
        <w:pStyle w:val="26"/>
        <w:spacing w:line="400" w:lineRule="exact"/>
        <w:ind w:firstLine="240"/>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4、</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工作人员及其配偶、子女不得以任何形式或名义索要、接受</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的现金、有价证券、支付凭证和其他馈赠礼品；</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不得以任何形式或名义向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工作人员及其配偶、子女、评标人员赠送现金、有价证券、支付凭证和礼品或采取其他不正当手段谋取利益。</w:t>
      </w:r>
    </w:p>
    <w:p w14:paraId="34AA08C2">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5、</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工作人员及其配偶、子女不得以任何形式或者名义接受</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的宴请、请钓、旅游、健身和其他娱乐活动；</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不得以任何形式或名义邀请</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工作人员及其配偶、子女请吃、请钓、旅游、健身和其他娱乐活动。</w:t>
      </w:r>
    </w:p>
    <w:p w14:paraId="3BF8F18D">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工作人员及其配偶、子女不得以打“业务牌”等形式变相接受</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的钱物；</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不得以打“业务牌”的形式向</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工作人员及其配偶、子女变相送钱物。</w:t>
      </w:r>
    </w:p>
    <w:p w14:paraId="50A9D35A">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7、</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工作人员及其配偶、子女不得在</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报销应由个人支付的费用或领取报酬；</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不得为</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工作人员及其配偶、子女报销应由个人支付的费用或发放报酬。</w:t>
      </w:r>
    </w:p>
    <w:p w14:paraId="3C240F86">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违约责任：</w:t>
      </w:r>
    </w:p>
    <w:p w14:paraId="102B289A">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发生违约行为，一经查实将视情节轻重对直接责任人进行严肃处理并追究主管人员的责任。</w:t>
      </w:r>
    </w:p>
    <w:p w14:paraId="078B8613">
      <w:pPr>
        <w:pStyle w:val="26"/>
        <w:spacing w:line="400" w:lineRule="exact"/>
        <w:ind w:firstLine="482"/>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hAnsi="宋体" w:cs="宋体"/>
          <w:color w:val="000000" w:themeColor="text1"/>
          <w:sz w:val="24"/>
          <w:szCs w:val="24"/>
          <w:highlight w:val="none"/>
          <w14:textFill>
            <w14:solidFill>
              <w14:schemeClr w14:val="tx1"/>
            </w14:solidFill>
          </w14:textFill>
        </w:rPr>
        <w:t>发生违约行为，</w:t>
      </w:r>
      <w:r>
        <w:rPr>
          <w:rFonts w:hint="eastAsia" w:hAnsi="宋体" w:cs="宋体"/>
          <w:color w:val="000000" w:themeColor="text1"/>
          <w:sz w:val="24"/>
          <w:szCs w:val="24"/>
          <w:highlight w:val="none"/>
          <w:lang w:eastAsia="zh-CN"/>
          <w14:textFill>
            <w14:solidFill>
              <w14:schemeClr w14:val="tx1"/>
            </w14:solidFill>
          </w14:textFill>
        </w:rPr>
        <w:t>采购人</w:t>
      </w:r>
      <w:r>
        <w:rPr>
          <w:rFonts w:hint="eastAsia" w:hAnsi="宋体" w:cs="宋体"/>
          <w:color w:val="000000" w:themeColor="text1"/>
          <w:sz w:val="24"/>
          <w:szCs w:val="24"/>
          <w:highlight w:val="none"/>
          <w14:textFill>
            <w14:solidFill>
              <w14:schemeClr w14:val="tx1"/>
            </w14:solidFill>
          </w14:textFill>
        </w:rPr>
        <w:t>有权解除合同，并将其列入“黑名单”在一定范围内公布，三年内不得参加辖区内的项目采购。　</w:t>
      </w:r>
    </w:p>
    <w:p w14:paraId="5B887E16">
      <w:pPr>
        <w:pStyle w:val="26"/>
        <w:spacing w:line="400" w:lineRule="exact"/>
        <w:jc w:val="left"/>
        <w:rPr>
          <w:rFonts w:hAnsi="宋体" w:cs="宋体"/>
          <w:color w:val="000000" w:themeColor="text1"/>
          <w:sz w:val="24"/>
          <w:szCs w:val="24"/>
          <w:highlight w:val="none"/>
          <w14:textFill>
            <w14:solidFill>
              <w14:schemeClr w14:val="tx1"/>
            </w14:solidFill>
          </w14:textFill>
        </w:rPr>
      </w:pPr>
    </w:p>
    <w:p w14:paraId="442AF447">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采购人</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 xml:space="preserve">： </w:t>
      </w:r>
    </w:p>
    <w:p w14:paraId="17339AC9">
      <w:pPr>
        <w:tabs>
          <w:tab w:val="left" w:pos="4962"/>
        </w:tabs>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法定（授权）代表人：                     法定（授权）代表人：</w:t>
      </w:r>
    </w:p>
    <w:p w14:paraId="48B42F3D">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签字日期：      年  月  日               签字日期：      年  月  日</w:t>
      </w:r>
    </w:p>
    <w:p w14:paraId="5FF92E5B">
      <w:pPr>
        <w:pBdr>
          <w:top w:val="none" w:color="000000" w:sz="0" w:space="0"/>
          <w:left w:val="none" w:color="000000" w:sz="0" w:space="0"/>
          <w:bottom w:val="none" w:color="000000" w:sz="0" w:space="0"/>
          <w:right w:val="none" w:color="000000" w:sz="0" w:space="0"/>
        </w:pBdr>
        <w:spacing w:before="240" w:after="240"/>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附件：</w:t>
      </w:r>
    </w:p>
    <w:p w14:paraId="6F7B32F2">
      <w:pPr>
        <w:pBdr>
          <w:top w:val="none" w:color="000000" w:sz="0" w:space="0"/>
          <w:left w:val="none" w:color="000000" w:sz="0" w:space="0"/>
          <w:bottom w:val="none" w:color="000000" w:sz="0" w:space="0"/>
          <w:right w:val="none" w:color="000000" w:sz="0" w:space="0"/>
        </w:pBdr>
        <w:spacing w:line="479" w:lineRule="atLeast"/>
        <w:ind w:firstLine="420"/>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r>
        <w:rPr>
          <w:rFonts w:ascii="宋体" w:hAnsi="宋体" w:cs="宋体"/>
          <w:color w:val="000000" w:themeColor="text1"/>
          <w:sz w:val="36"/>
          <w:highlight w:val="none"/>
          <w14:textFill>
            <w14:solidFill>
              <w14:schemeClr w14:val="tx1"/>
            </w14:solidFill>
          </w14:textFill>
        </w:rPr>
        <w:t>政府采购合同履约验收书（参考格式）</w:t>
      </w:r>
    </w:p>
    <w:p w14:paraId="16DF1E97">
      <w:pPr>
        <w:pBdr>
          <w:top w:val="none" w:color="000000" w:sz="0" w:space="0"/>
          <w:left w:val="none" w:color="000000" w:sz="0" w:space="0"/>
          <w:bottom w:val="none" w:color="000000" w:sz="0" w:space="0"/>
          <w:right w:val="none" w:color="000000" w:sz="0" w:space="0"/>
        </w:pBdr>
        <w:spacing w:line="559" w:lineRule="atLeast"/>
        <w:ind w:firstLine="420"/>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根据政府采购合同（编号：</w:t>
      </w:r>
      <w:r>
        <w:rPr>
          <w:rFonts w:ascii="宋体" w:hAnsi="宋体" w:cs="宋体"/>
          <w:color w:val="000000" w:themeColor="text1"/>
          <w:highlight w:val="none"/>
          <w:u w:val="single"/>
          <w14:textFill>
            <w14:solidFill>
              <w14:schemeClr w14:val="tx1"/>
            </w14:solidFill>
          </w14:textFill>
        </w:rPr>
        <w:t>          </w:t>
      </w:r>
      <w:r>
        <w:rPr>
          <w:rFonts w:ascii="宋体" w:hAnsi="宋体" w:cs="宋体"/>
          <w:color w:val="000000" w:themeColor="text1"/>
          <w:highlight w:val="none"/>
          <w14:textFill>
            <w14:solidFill>
              <w14:schemeClr w14:val="tx1"/>
            </w14:solidFill>
          </w14:textFill>
        </w:rPr>
        <w:t>）的约定，我单位组织对</w:t>
      </w:r>
      <w:r>
        <w:rPr>
          <w:rFonts w:ascii="宋体" w:hAnsi="宋体" w:cs="宋体"/>
          <w:color w:val="000000" w:themeColor="text1"/>
          <w:highlight w:val="none"/>
          <w:u w:val="single"/>
          <w14:textFill>
            <w14:solidFill>
              <w14:schemeClr w14:val="tx1"/>
            </w14:solidFill>
          </w14:textFill>
        </w:rPr>
        <w:t>（项目名称）</w:t>
      </w:r>
      <w:r>
        <w:rPr>
          <w:rFonts w:ascii="宋体" w:hAnsi="宋体" w:cs="宋体"/>
          <w:color w:val="000000" w:themeColor="text1"/>
          <w:highlight w:val="none"/>
          <w14:textFill>
            <w14:solidFill>
              <w14:schemeClr w14:val="tx1"/>
            </w14:solidFill>
          </w14:textFill>
        </w:rPr>
        <w:t>项目中标（成交）供应商</w:t>
      </w:r>
      <w:r>
        <w:rPr>
          <w:rFonts w:ascii="宋体" w:hAnsi="宋体" w:cs="宋体"/>
          <w:color w:val="000000" w:themeColor="text1"/>
          <w:highlight w:val="none"/>
          <w:u w:val="single"/>
          <w14:textFill>
            <w14:solidFill>
              <w14:schemeClr w14:val="tx1"/>
            </w14:solidFill>
          </w14:textFill>
        </w:rPr>
        <w:t>（公司名称）</w:t>
      </w:r>
      <w:r>
        <w:rPr>
          <w:rFonts w:ascii="宋体" w:hAnsi="宋体" w:cs="宋体"/>
          <w:color w:val="000000" w:themeColor="text1"/>
          <w:highlight w:val="none"/>
          <w14:textFill>
            <w14:solidFill>
              <w14:schemeClr w14:val="tx1"/>
            </w14:solidFill>
          </w14:textFill>
        </w:rPr>
        <w:t>提供的货物（工程、服务）进行了履约验收，验收情况如下：</w:t>
      </w:r>
    </w:p>
    <w:tbl>
      <w:tblPr>
        <w:tblStyle w:val="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529"/>
        <w:gridCol w:w="2415"/>
        <w:gridCol w:w="1562"/>
        <w:gridCol w:w="3165"/>
      </w:tblGrid>
      <w:tr w14:paraId="20FF68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855" w:hRule="atLeast"/>
        </w:trPr>
        <w:tc>
          <w:tcPr>
            <w:tcW w:w="152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8DA319">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项目名称</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C6BF8EF">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c>
          <w:tcPr>
            <w:tcW w:w="15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C2E37F2">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项目地点</w:t>
            </w:r>
          </w:p>
        </w:tc>
        <w:tc>
          <w:tcPr>
            <w:tcW w:w="316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80CED5E">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r>
      <w:tr w14:paraId="12401F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697882">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预算金额</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45A0E9">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c>
          <w:tcPr>
            <w:tcW w:w="1562" w:type="dxa"/>
            <w:tcBorders>
              <w:top w:val="nil"/>
              <w:left w:val="nil"/>
              <w:bottom w:val="nil"/>
              <w:right w:val="nil"/>
            </w:tcBorders>
            <w:noWrap w:val="0"/>
            <w:tcMar>
              <w:top w:w="0" w:type="dxa"/>
              <w:left w:w="108" w:type="dxa"/>
              <w:bottom w:w="0" w:type="dxa"/>
              <w:right w:w="108" w:type="dxa"/>
            </w:tcMar>
            <w:vAlign w:val="center"/>
          </w:tcPr>
          <w:p w14:paraId="4D249D68">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承接单位</w:t>
            </w:r>
          </w:p>
        </w:tc>
        <w:tc>
          <w:tcPr>
            <w:tcW w:w="31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66B17E">
            <w:pPr>
              <w:pBdr>
                <w:top w:val="none" w:color="000000" w:sz="0" w:space="0"/>
                <w:left w:val="none" w:color="000000" w:sz="0" w:space="0"/>
                <w:bottom w:val="none" w:color="000000" w:sz="0" w:space="0"/>
                <w:right w:val="none" w:color="000000" w:sz="0" w:space="0"/>
              </w:pBdr>
              <w:spacing w:line="36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r>
      <w:tr w14:paraId="04E878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B0ABA1">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合同时间</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9E0068">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c>
          <w:tcPr>
            <w:tcW w:w="156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4A1E7FC">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项目开始时间</w:t>
            </w:r>
          </w:p>
        </w:tc>
        <w:tc>
          <w:tcPr>
            <w:tcW w:w="31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8C9795">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r>
      <w:tr w14:paraId="127F3D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CCA874">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项目结束时间</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F7AA9C">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c>
          <w:tcPr>
            <w:tcW w:w="156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EDDC5D">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项目联系人</w:t>
            </w:r>
          </w:p>
        </w:tc>
        <w:tc>
          <w:tcPr>
            <w:tcW w:w="316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F7BA1E">
            <w:pPr>
              <w:pBdr>
                <w:top w:val="none" w:color="000000" w:sz="0" w:space="0"/>
                <w:left w:val="none" w:color="000000" w:sz="0" w:space="0"/>
                <w:bottom w:val="none" w:color="000000" w:sz="0" w:space="0"/>
                <w:right w:val="none" w:color="000000" w:sz="0" w:space="0"/>
              </w:pBdr>
              <w:spacing w:line="360" w:lineRule="atLeast"/>
              <w:jc w:val="cente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r>
      <w:tr w14:paraId="53D0CF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9300AEF">
            <w:pPr>
              <w:pBdr>
                <w:top w:val="none" w:color="000000" w:sz="0" w:space="0"/>
                <w:left w:val="none" w:color="000000" w:sz="0" w:space="0"/>
                <w:bottom w:val="none" w:color="000000" w:sz="0" w:space="0"/>
                <w:right w:val="none" w:color="000000" w:sz="0" w:space="0"/>
              </w:pBdr>
              <w:spacing w:line="439" w:lineRule="atLeast"/>
              <w:jc w:val="center"/>
              <w:rPr>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t>验收情况和验收意见</w:t>
            </w:r>
          </w:p>
          <w:p w14:paraId="34F7BCAE">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（可另附）</w:t>
            </w:r>
          </w:p>
          <w:p w14:paraId="7FE1548B">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p w14:paraId="14338B78">
            <w:pPr>
              <w:pBdr>
                <w:top w:val="none" w:color="000000" w:sz="0" w:space="0"/>
                <w:left w:val="none" w:color="000000" w:sz="0" w:space="0"/>
                <w:bottom w:val="none" w:color="000000" w:sz="0" w:space="0"/>
                <w:right w:val="none" w:color="000000" w:sz="0" w:space="0"/>
              </w:pBdr>
              <w:spacing w:line="439" w:lineRule="atLeast"/>
              <w:ind w:firstLine="420"/>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tc>
      </w:tr>
      <w:tr w14:paraId="4A973B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636AF62">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验收小组（签字）：</w:t>
            </w:r>
          </w:p>
          <w:p w14:paraId="4229816C">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p w14:paraId="75C20BE0">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r>
              <w:rPr>
                <w:color w:val="000000" w:themeColor="text1"/>
                <w:highlight w:val="none"/>
                <w14:textFill>
                  <w14:solidFill>
                    <w14:schemeClr w14:val="tx1"/>
                  </w14:solidFill>
                </w14:textFill>
              </w:rPr>
              <w:br w:type="textWrapping"/>
            </w:r>
            <w:r>
              <w:rPr>
                <w:rFonts w:ascii="宋体" w:hAnsi="宋体" w:cs="宋体"/>
                <w:color w:val="000000" w:themeColor="text1"/>
                <w:highlight w:val="none"/>
                <w14:textFill>
                  <w14:solidFill>
                    <w14:schemeClr w14:val="tx1"/>
                  </w14:solidFill>
                </w14:textFill>
              </w:rPr>
              <w:t xml:space="preserve">                              年    月    日</w:t>
            </w:r>
          </w:p>
        </w:tc>
      </w:tr>
      <w:tr w14:paraId="25FC57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25ED9DF">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供应商确认意见（签章）：</w:t>
            </w:r>
          </w:p>
          <w:p w14:paraId="73E77A3B">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p w14:paraId="47526534">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textWrapping"/>
            </w:r>
            <w:r>
              <w:rPr>
                <w:rFonts w:ascii="宋体" w:hAnsi="宋体" w:cs="宋体"/>
                <w:color w:val="000000" w:themeColor="text1"/>
                <w:highlight w:val="none"/>
                <w14:textFill>
                  <w14:solidFill>
                    <w14:schemeClr w14:val="tx1"/>
                  </w14:solidFill>
                </w14:textFill>
              </w:rPr>
              <w:t xml:space="preserve">                              年    月    日</w:t>
            </w:r>
          </w:p>
        </w:tc>
      </w:tr>
      <w:tr w14:paraId="0D7EB7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71"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454B603">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采购人确认意见（签章）：</w:t>
            </w:r>
          </w:p>
          <w:p w14:paraId="0F04BA8C">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p w14:paraId="6D0A575C">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w:t>
            </w:r>
          </w:p>
          <w:p w14:paraId="3B8B50EB">
            <w:pPr>
              <w:pBdr>
                <w:top w:val="none" w:color="000000" w:sz="0" w:space="0"/>
                <w:left w:val="none" w:color="000000" w:sz="0" w:space="0"/>
                <w:bottom w:val="none" w:color="000000" w:sz="0" w:space="0"/>
                <w:right w:val="none" w:color="000000" w:sz="0" w:space="0"/>
              </w:pBdr>
              <w:spacing w:line="439"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年    月    日</w:t>
            </w:r>
          </w:p>
        </w:tc>
      </w:tr>
    </w:tbl>
    <w:p w14:paraId="2D9BBD1A">
      <w:pPr>
        <w:spacing w:line="520" w:lineRule="exact"/>
        <w:jc w:val="center"/>
        <w:outlineLvl w:val="0"/>
        <w:rPr>
          <w:b/>
          <w:color w:val="000000" w:themeColor="text1"/>
          <w:sz w:val="44"/>
          <w:szCs w:val="44"/>
          <w:highlight w:val="none"/>
          <w14:textFill>
            <w14:solidFill>
              <w14:schemeClr w14:val="tx1"/>
            </w14:solidFill>
          </w14:textFill>
        </w:rPr>
        <w:sectPr>
          <w:pgSz w:w="11906" w:h="16838"/>
          <w:pgMar w:top="1440" w:right="1587" w:bottom="1440" w:left="1587" w:header="851" w:footer="907" w:gutter="0"/>
          <w:pgBorders>
            <w:top w:val="none" w:sz="0" w:space="0"/>
            <w:left w:val="none" w:sz="0" w:space="0"/>
            <w:bottom w:val="none" w:sz="0" w:space="0"/>
            <w:right w:val="none" w:sz="0" w:space="0"/>
          </w:pgBorders>
          <w:cols w:space="720" w:num="1"/>
        </w:sectPr>
      </w:pPr>
    </w:p>
    <w:p w14:paraId="10B83937">
      <w:pPr>
        <w:spacing w:line="520" w:lineRule="exact"/>
        <w:jc w:val="center"/>
        <w:outlineLvl w:val="0"/>
        <w:rPr>
          <w:rFonts w:ascii="宋体" w:hAnsi="宋体" w:cs="宋体"/>
          <w:b/>
          <w:color w:val="000000" w:themeColor="text1"/>
          <w:sz w:val="72"/>
          <w:szCs w:val="72"/>
          <w:highlight w:val="none"/>
          <w14:textFill>
            <w14:solidFill>
              <w14:schemeClr w14:val="tx1"/>
            </w14:solidFill>
          </w14:textFill>
        </w:rPr>
      </w:pPr>
      <w:bookmarkStart w:id="191" w:name="_Toc7692"/>
      <w:r>
        <w:rPr>
          <w:rFonts w:hint="eastAsia"/>
          <w:b/>
          <w:color w:val="000000" w:themeColor="text1"/>
          <w:sz w:val="44"/>
          <w:szCs w:val="44"/>
          <w:highlight w:val="none"/>
          <w14:textFill>
            <w14:solidFill>
              <w14:schemeClr w14:val="tx1"/>
            </w14:solidFill>
          </w14:textFill>
        </w:rPr>
        <w:t>第六章 投标文件及格式</w:t>
      </w:r>
      <w:bookmarkEnd w:id="189"/>
      <w:bookmarkEnd w:id="190"/>
      <w:bookmarkEnd w:id="191"/>
    </w:p>
    <w:p w14:paraId="35BF33AA">
      <w:pPr>
        <w:pStyle w:val="46"/>
        <w:spacing w:beforeAutospacing="0" w:afterAutospacing="0"/>
        <w:jc w:val="center"/>
        <w:rPr>
          <w:b/>
          <w:color w:val="000000" w:themeColor="text1"/>
          <w:sz w:val="72"/>
          <w:szCs w:val="72"/>
          <w:highlight w:val="none"/>
          <w14:textFill>
            <w14:solidFill>
              <w14:schemeClr w14:val="tx1"/>
            </w14:solidFill>
          </w14:textFill>
        </w:rPr>
      </w:pPr>
    </w:p>
    <w:p w14:paraId="6A2FCA7B">
      <w:pPr>
        <w:pStyle w:val="46"/>
        <w:spacing w:beforeAutospacing="0" w:afterAutospacing="0"/>
        <w:jc w:val="center"/>
        <w:rPr>
          <w:color w:val="000000" w:themeColor="text1"/>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投  标  文  件</w:t>
      </w:r>
    </w:p>
    <w:p w14:paraId="6D061D0D">
      <w:pPr>
        <w:pStyle w:val="46"/>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21C4E94">
      <w:pPr>
        <w:pStyle w:val="46"/>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3B5C1BC">
      <w:pPr>
        <w:pStyle w:val="46"/>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6F224F0">
      <w:pPr>
        <w:pStyle w:val="46"/>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EBA6073">
      <w:pPr>
        <w:pStyle w:val="46"/>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D3988AB">
      <w:pPr>
        <w:pStyle w:val="46"/>
        <w:spacing w:beforeAutospacing="0" w:afterAutospacing="0"/>
        <w:ind w:firstLine="1084"/>
        <w:jc w:val="both"/>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项目 名 称：</w:t>
      </w:r>
      <w:r>
        <w:rPr>
          <w:rFonts w:hint="eastAsia"/>
          <w:b/>
          <w:color w:val="000000" w:themeColor="text1"/>
          <w:sz w:val="36"/>
          <w:szCs w:val="36"/>
          <w:highlight w:val="none"/>
          <w:u w:val="single"/>
          <w14:textFill>
            <w14:solidFill>
              <w14:schemeClr w14:val="tx1"/>
            </w14:solidFill>
          </w14:textFill>
        </w:rPr>
        <w:t xml:space="preserve">               </w:t>
      </w:r>
    </w:p>
    <w:p w14:paraId="39F0B64C">
      <w:pPr>
        <w:pStyle w:val="46"/>
        <w:spacing w:beforeAutospacing="0" w:afterAutospacing="0"/>
        <w:ind w:firstLine="1084"/>
        <w:jc w:val="both"/>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项目 编 号：</w:t>
      </w:r>
      <w:r>
        <w:rPr>
          <w:rFonts w:hint="eastAsia"/>
          <w:b/>
          <w:color w:val="000000" w:themeColor="text1"/>
          <w:sz w:val="36"/>
          <w:szCs w:val="36"/>
          <w:highlight w:val="none"/>
          <w:u w:val="single"/>
          <w14:textFill>
            <w14:solidFill>
              <w14:schemeClr w14:val="tx1"/>
            </w14:solidFill>
          </w14:textFill>
        </w:rPr>
        <w:t xml:space="preserve">               </w:t>
      </w:r>
    </w:p>
    <w:p w14:paraId="1F69D585">
      <w:pPr>
        <w:pStyle w:val="46"/>
        <w:spacing w:beforeAutospacing="0" w:afterAutospacing="0"/>
        <w:jc w:val="both"/>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投标人名称 ：</w:t>
      </w:r>
      <w:r>
        <w:rPr>
          <w:rFonts w:hint="eastAsia"/>
          <w:b/>
          <w:color w:val="000000" w:themeColor="text1"/>
          <w:sz w:val="36"/>
          <w:szCs w:val="36"/>
          <w:highlight w:val="none"/>
          <w:u w:val="single"/>
          <w14:textFill>
            <w14:solidFill>
              <w14:schemeClr w14:val="tx1"/>
            </w14:solidFill>
          </w14:textFill>
        </w:rPr>
        <w:t xml:space="preserve">（加盖CA电子公章）        </w:t>
      </w:r>
    </w:p>
    <w:p w14:paraId="3A5905E4">
      <w:pPr>
        <w:pStyle w:val="46"/>
        <w:spacing w:beforeAutospacing="0" w:afterAutospacing="0"/>
        <w:jc w:val="both"/>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日   期 ：</w:t>
      </w:r>
      <w:r>
        <w:rPr>
          <w:rFonts w:hint="eastAsia"/>
          <w:b/>
          <w:color w:val="000000" w:themeColor="text1"/>
          <w:sz w:val="36"/>
          <w:szCs w:val="36"/>
          <w:highlight w:val="none"/>
          <w:u w:val="single"/>
          <w14:textFill>
            <w14:solidFill>
              <w14:schemeClr w14:val="tx1"/>
            </w14:solidFill>
          </w14:textFill>
        </w:rPr>
        <w:t>                     </w:t>
      </w:r>
    </w:p>
    <w:p w14:paraId="48E6B9CF">
      <w:pPr>
        <w:spacing w:line="480" w:lineRule="exact"/>
        <w:jc w:val="center"/>
        <w:rPr>
          <w:rFonts w:ascii="宋体" w:hAnsi="宋体" w:cs="Segoe UI"/>
          <w:b/>
          <w:bCs/>
          <w:color w:val="000000" w:themeColor="text1"/>
          <w:sz w:val="32"/>
          <w:szCs w:val="32"/>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0DB437FD">
      <w:pPr>
        <w:pStyle w:val="46"/>
        <w:spacing w:beforeAutospacing="0" w:afterAutospacing="0" w:line="0" w:lineRule="atLeast"/>
        <w:jc w:val="center"/>
        <w:rPr>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投标文件目录</w:t>
      </w:r>
    </w:p>
    <w:p w14:paraId="6E7A9A0D">
      <w:pPr>
        <w:pStyle w:val="46"/>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0A55723">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一、法人或者其他组织的营业执照等证明文件，自然人的身份证明</w:t>
      </w:r>
    </w:p>
    <w:p w14:paraId="4F6DD41C">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二、上一年度的财务状况报告（至少提供资产负债表、利润表、现金流量表，投标人成立不满一年无需提供）</w:t>
      </w:r>
    </w:p>
    <w:p w14:paraId="2AA6CA1E">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28F8A5ED">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四、具备履行合同所必需的设备和专业技术能力的书面声明</w:t>
      </w:r>
    </w:p>
    <w:p w14:paraId="1991CA84">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五、参加政府采购活动前 3 年内在经营活动中没有重大违法记录的书面声明</w:t>
      </w:r>
    </w:p>
    <w:p w14:paraId="030D5025">
      <w:pPr>
        <w:pStyle w:val="46"/>
        <w:spacing w:beforeAutospacing="0" w:afterAutospacing="0" w:line="400" w:lineRule="exact"/>
        <w:ind w:left="480"/>
        <w:jc w:val="both"/>
        <w:rPr>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六、特定资格要求的证明文件（如果本项目设置特定资格要求，则需要提供）</w:t>
      </w:r>
    </w:p>
    <w:p w14:paraId="2190FDAA">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七、法人授权书</w:t>
      </w:r>
    </w:p>
    <w:p w14:paraId="1B4DCFBD">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八、投标函</w:t>
      </w:r>
    </w:p>
    <w:p w14:paraId="5A5FA249">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九、小微企业声明函</w:t>
      </w:r>
    </w:p>
    <w:p w14:paraId="0A96E737">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十、残疾人福利性单位声明函（如有）</w:t>
      </w:r>
    </w:p>
    <w:p w14:paraId="7847C4B4">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十一、投标清单报价表</w:t>
      </w:r>
    </w:p>
    <w:p w14:paraId="2ED5CF5C">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十二、商务要求响应及偏离表</w:t>
      </w:r>
    </w:p>
    <w:p w14:paraId="16CAF07B">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十三、开标一览表</w:t>
      </w:r>
    </w:p>
    <w:p w14:paraId="7C9F5469">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十四、技术方案、服务承诺、培训承诺等</w:t>
      </w:r>
    </w:p>
    <w:p w14:paraId="43809B4D">
      <w:pPr>
        <w:pStyle w:val="46"/>
        <w:spacing w:beforeAutospacing="0" w:afterAutospacing="0" w:line="400" w:lineRule="exact"/>
        <w:ind w:left="480"/>
        <w:jc w:val="both"/>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十五、盐城市政府采购事前信用承诺书</w:t>
      </w:r>
    </w:p>
    <w:p w14:paraId="37E6E415">
      <w:pPr>
        <w:spacing w:line="480" w:lineRule="exact"/>
        <w:jc w:val="center"/>
        <w:rPr>
          <w:rFonts w:ascii="宋体" w:hAnsi="宋体" w:cs="Segoe UI"/>
          <w:b/>
          <w:bCs/>
          <w:color w:val="000000" w:themeColor="text1"/>
          <w:sz w:val="32"/>
          <w:szCs w:val="32"/>
          <w:highlight w:val="none"/>
          <w14:textFill>
            <w14:solidFill>
              <w14:schemeClr w14:val="tx1"/>
            </w14:solidFill>
          </w14:textFill>
        </w:rPr>
      </w:pPr>
    </w:p>
    <w:p w14:paraId="64DB0203">
      <w:pPr>
        <w:spacing w:line="480" w:lineRule="exact"/>
        <w:jc w:val="center"/>
        <w:rPr>
          <w:rFonts w:ascii="宋体" w:hAnsi="宋体" w:cs="Segoe UI"/>
          <w:b/>
          <w:bCs/>
          <w:color w:val="000000" w:themeColor="text1"/>
          <w:sz w:val="32"/>
          <w:szCs w:val="32"/>
          <w:highlight w:val="none"/>
          <w14:textFill>
            <w14:solidFill>
              <w14:schemeClr w14:val="tx1"/>
            </w14:solidFill>
          </w14:textFill>
        </w:rPr>
      </w:pPr>
    </w:p>
    <w:p w14:paraId="044842E1">
      <w:pPr>
        <w:spacing w:line="480" w:lineRule="exact"/>
        <w:jc w:val="center"/>
        <w:rPr>
          <w:rFonts w:ascii="宋体" w:hAnsi="宋体" w:cs="Segoe UI"/>
          <w:b/>
          <w:bCs/>
          <w:color w:val="000000" w:themeColor="text1"/>
          <w:sz w:val="32"/>
          <w:szCs w:val="32"/>
          <w:highlight w:val="none"/>
          <w14:textFill>
            <w14:solidFill>
              <w14:schemeClr w14:val="tx1"/>
            </w14:solidFill>
          </w14:textFill>
        </w:rPr>
      </w:pPr>
    </w:p>
    <w:p w14:paraId="60532F7E">
      <w:pPr>
        <w:spacing w:line="480" w:lineRule="exact"/>
        <w:jc w:val="center"/>
        <w:rPr>
          <w:rFonts w:ascii="宋体" w:hAnsi="宋体" w:cs="Segoe UI"/>
          <w:b/>
          <w:bCs/>
          <w:color w:val="000000" w:themeColor="text1"/>
          <w:sz w:val="32"/>
          <w:szCs w:val="32"/>
          <w:highlight w:val="none"/>
          <w14:textFill>
            <w14:solidFill>
              <w14:schemeClr w14:val="tx1"/>
            </w14:solidFill>
          </w14:textFill>
        </w:rPr>
      </w:pPr>
    </w:p>
    <w:p w14:paraId="4BF972EA">
      <w:pPr>
        <w:spacing w:line="520" w:lineRule="exact"/>
        <w:jc w:val="center"/>
        <w:rPr>
          <w:rFonts w:ascii="黑体" w:hAnsi="黑体" w:eastAsia="黑体" w:cs="黑体"/>
          <w:b/>
          <w:color w:val="000000" w:themeColor="text1"/>
          <w:sz w:val="36"/>
          <w:szCs w:val="36"/>
          <w:highlight w:val="none"/>
          <w14:textFill>
            <w14:solidFill>
              <w14:schemeClr w14:val="tx1"/>
            </w14:solidFill>
          </w14:textFill>
        </w:rPr>
      </w:pPr>
    </w:p>
    <w:p w14:paraId="7E619C62">
      <w:pPr>
        <w:pStyle w:val="46"/>
        <w:spacing w:beforeAutospacing="0" w:afterAutospacing="0" w:line="0" w:lineRule="atLeast"/>
        <w:ind w:firstLine="480"/>
        <w:jc w:val="center"/>
        <w:rPr>
          <w:rFonts w:ascii="黑体" w:hAnsi="黑体" w:eastAsia="黑体" w:cs="黑体"/>
          <w:b/>
          <w:color w:val="000000" w:themeColor="text1"/>
          <w:sz w:val="36"/>
          <w:szCs w:val="36"/>
          <w:highlight w:val="none"/>
          <w14:textFill>
            <w14:solidFill>
              <w14:schemeClr w14:val="tx1"/>
            </w14:solidFill>
          </w14:textFill>
        </w:rPr>
      </w:pPr>
    </w:p>
    <w:p w14:paraId="794188FD">
      <w:pPr>
        <w:pStyle w:val="46"/>
        <w:spacing w:beforeAutospacing="0" w:afterAutospacing="0" w:line="0" w:lineRule="atLeast"/>
        <w:ind w:firstLine="480"/>
        <w:jc w:val="center"/>
        <w:rPr>
          <w:rFonts w:ascii="黑体" w:hAnsi="黑体" w:eastAsia="黑体" w:cs="黑体"/>
          <w:b/>
          <w:color w:val="000000" w:themeColor="text1"/>
          <w:sz w:val="36"/>
          <w:szCs w:val="36"/>
          <w:highlight w:val="none"/>
          <w14:textFill>
            <w14:solidFill>
              <w14:schemeClr w14:val="tx1"/>
            </w14:solidFill>
          </w14:textFill>
        </w:rPr>
      </w:pPr>
    </w:p>
    <w:p w14:paraId="6E04C360">
      <w:pPr>
        <w:pStyle w:val="46"/>
        <w:spacing w:beforeAutospacing="0" w:afterAutospacing="0" w:line="0" w:lineRule="atLeast"/>
        <w:ind w:firstLine="480"/>
        <w:jc w:val="center"/>
        <w:rPr>
          <w:rFonts w:ascii="黑体" w:hAnsi="黑体" w:eastAsia="黑体" w:cs="黑体"/>
          <w:b/>
          <w:color w:val="000000" w:themeColor="text1"/>
          <w:sz w:val="36"/>
          <w:szCs w:val="36"/>
          <w:highlight w:val="none"/>
          <w14:textFill>
            <w14:solidFill>
              <w14:schemeClr w14:val="tx1"/>
            </w14:solidFill>
          </w14:textFill>
        </w:rPr>
      </w:pPr>
    </w:p>
    <w:p w14:paraId="52E86048">
      <w:pPr>
        <w:pStyle w:val="46"/>
        <w:spacing w:beforeAutospacing="0" w:afterAutospacing="0" w:line="0" w:lineRule="atLeast"/>
        <w:ind w:firstLine="480"/>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（一）法人或者其他组织的营业执照等证明文件，自然人的身份证明</w:t>
      </w:r>
    </w:p>
    <w:p w14:paraId="65077402">
      <w:pPr>
        <w:pStyle w:val="46"/>
        <w:spacing w:beforeAutospacing="0" w:afterAutospacing="0" w:line="0" w:lineRule="atLeast"/>
        <w:ind w:firstLine="480"/>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120E8608">
      <w:pPr>
        <w:pStyle w:val="46"/>
        <w:spacing w:beforeAutospacing="0" w:afterAutospacing="0" w:line="0" w:lineRule="atLeast"/>
        <w:ind w:firstLine="480"/>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r>
        <w:rPr>
          <w:rFonts w:hint="eastAsia" w:ascii="黑体" w:hAnsi="黑体" w:eastAsia="黑体" w:cs="黑体"/>
          <w:b/>
          <w:color w:val="000000" w:themeColor="text1"/>
          <w:sz w:val="36"/>
          <w:szCs w:val="36"/>
          <w:highlight w:val="none"/>
          <w14:textFill>
            <w14:solidFill>
              <w14:schemeClr w14:val="tx1"/>
            </w14:solidFill>
          </w14:textFill>
        </w:rPr>
        <w:t>（二）上一年度的财务状况报表（成立不满一年无需提供）</w:t>
      </w:r>
    </w:p>
    <w:p w14:paraId="37C19615">
      <w:pPr>
        <w:pStyle w:val="46"/>
        <w:spacing w:beforeAutospacing="0" w:afterAutospacing="0"/>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（三）依法缴纳税收和社会保障资金的相关材料</w:t>
      </w:r>
    </w:p>
    <w:p w14:paraId="3C221106">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7B8FF2A5">
      <w:pPr>
        <w:pStyle w:val="46"/>
        <w:spacing w:beforeAutospacing="0" w:afterAutospacing="0"/>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（四）具备履行合同所必需的设备和专业技术能力的书面声明</w:t>
      </w:r>
    </w:p>
    <w:p w14:paraId="57EDA2ED">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252EDB54">
      <w:pPr>
        <w:pStyle w:val="46"/>
        <w:spacing w:beforeAutospacing="0" w:afterAutospacing="0" w:line="500" w:lineRule="exact"/>
        <w:ind w:firstLine="492"/>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57B7AEFC">
      <w:pPr>
        <w:pStyle w:val="46"/>
        <w:spacing w:beforeAutospacing="0" w:afterAutospacing="0" w:line="500" w:lineRule="exact"/>
        <w:ind w:firstLine="492"/>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2CE6FFA0">
      <w:pPr>
        <w:pStyle w:val="46"/>
        <w:spacing w:beforeAutospacing="0" w:afterAutospacing="0" w:line="500" w:lineRule="exact"/>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6373F9B9">
      <w:pPr>
        <w:spacing w:line="500" w:lineRule="exact"/>
        <w:jc w:val="righ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投标人名称（公章）：</w:t>
      </w:r>
    </w:p>
    <w:p w14:paraId="6177C49A">
      <w:pPr>
        <w:spacing w:line="500" w:lineRule="exact"/>
        <w:jc w:val="righ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法定代表人或</w:t>
      </w:r>
      <w:r>
        <w:rPr>
          <w:rFonts w:hint="eastAsia" w:ascii="宋体" w:hAnsi="宋体"/>
          <w:bCs/>
          <w:color w:val="000000" w:themeColor="text1"/>
          <w:sz w:val="24"/>
          <w:highlight w:val="none"/>
          <w14:textFill>
            <w14:solidFill>
              <w14:schemeClr w14:val="tx1"/>
            </w14:solidFill>
          </w14:textFill>
        </w:rPr>
        <w:t>授权代表签字：</w:t>
      </w:r>
    </w:p>
    <w:p w14:paraId="045C7D44">
      <w:pPr>
        <w:spacing w:line="500" w:lineRule="exact"/>
        <w:jc w:val="righ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日</w:t>
      </w:r>
    </w:p>
    <w:p w14:paraId="018FAA35">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32F50A34">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201A3097">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7ADFDE22">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29ABFB50">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408565EC">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5DE6BFBE">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1DF1D006">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2D3C1724">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77F22CB6">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575D3A23">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19F31C83">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49FCCA44">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432CC29B">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pPr>
    </w:p>
    <w:p w14:paraId="02F403FF">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595DF1F0">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（五）参加政府采购活动前 3 年内在经营活动中没有重大违法记录的书面声明</w:t>
      </w:r>
    </w:p>
    <w:p w14:paraId="1082C87F">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44"/>
          <w:szCs w:val="44"/>
          <w:highlight w:val="none"/>
          <w14:textFill>
            <w14:solidFill>
              <w14:schemeClr w14:val="tx1"/>
            </w14:solidFill>
          </w14:textFill>
        </w:rPr>
        <w:t xml:space="preserve">   </w:t>
      </w:r>
    </w:p>
    <w:p w14:paraId="7281B77C">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p>
    <w:p w14:paraId="67C17362">
      <w:pPr>
        <w:spacing w:line="460" w:lineRule="exact"/>
        <w:ind w:firstLine="42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51AC9408">
      <w:pPr>
        <w:spacing w:line="460" w:lineRule="exact"/>
        <w:rPr>
          <w:rFonts w:ascii="宋体" w:hAnsi="宋体"/>
          <w:bCs/>
          <w:color w:val="000000" w:themeColor="text1"/>
          <w:sz w:val="24"/>
          <w:highlight w:val="none"/>
          <w14:textFill>
            <w14:solidFill>
              <w14:schemeClr w14:val="tx1"/>
            </w14:solidFill>
          </w14:textFill>
        </w:rPr>
      </w:pPr>
    </w:p>
    <w:p w14:paraId="5C64D485">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投标人名称（公章）：</w:t>
      </w:r>
    </w:p>
    <w:p w14:paraId="7BFF64AB">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法定代表人或</w:t>
      </w:r>
      <w:r>
        <w:rPr>
          <w:rFonts w:hint="eastAsia" w:ascii="宋体" w:hAnsi="宋体"/>
          <w:bCs/>
          <w:color w:val="000000" w:themeColor="text1"/>
          <w:sz w:val="24"/>
          <w:highlight w:val="none"/>
          <w14:textFill>
            <w14:solidFill>
              <w14:schemeClr w14:val="tx1"/>
            </w14:solidFill>
          </w14:textFill>
        </w:rPr>
        <w:t>授权代表签字：</w:t>
      </w:r>
    </w:p>
    <w:p w14:paraId="2E8B3AC4">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日</w:t>
      </w:r>
    </w:p>
    <w:p w14:paraId="207BA3A7">
      <w:pPr>
        <w:spacing w:line="360" w:lineRule="auto"/>
        <w:ind w:left="1446" w:hanging="1446"/>
        <w:jc w:val="center"/>
        <w:rPr>
          <w:rFonts w:ascii="宋体" w:hAnsi="宋体"/>
          <w:b/>
          <w:color w:val="000000" w:themeColor="text1"/>
          <w:sz w:val="36"/>
          <w:szCs w:val="36"/>
          <w:highlight w:val="none"/>
          <w14:textFill>
            <w14:solidFill>
              <w14:schemeClr w14:val="tx1"/>
            </w14:solidFill>
          </w14:textFill>
        </w:rPr>
      </w:pPr>
    </w:p>
    <w:p w14:paraId="38C2AB1C">
      <w:pPr>
        <w:spacing w:line="360" w:lineRule="auto"/>
        <w:ind w:left="1446" w:hanging="1446"/>
        <w:jc w:val="center"/>
        <w:rPr>
          <w:rFonts w:ascii="宋体" w:hAnsi="宋体"/>
          <w:b/>
          <w:color w:val="000000" w:themeColor="text1"/>
          <w:sz w:val="36"/>
          <w:szCs w:val="36"/>
          <w:highlight w:val="none"/>
          <w14:textFill>
            <w14:solidFill>
              <w14:schemeClr w14:val="tx1"/>
            </w14:solidFill>
          </w14:textFill>
        </w:rPr>
      </w:pPr>
    </w:p>
    <w:p w14:paraId="4F543683">
      <w:pPr>
        <w:spacing w:line="360" w:lineRule="auto"/>
        <w:ind w:left="1446" w:hanging="1446"/>
        <w:jc w:val="center"/>
        <w:rPr>
          <w:rFonts w:ascii="宋体" w:hAnsi="宋体"/>
          <w:b/>
          <w:color w:val="000000" w:themeColor="text1"/>
          <w:sz w:val="36"/>
          <w:szCs w:val="36"/>
          <w:highlight w:val="none"/>
          <w14:textFill>
            <w14:solidFill>
              <w14:schemeClr w14:val="tx1"/>
            </w14:solidFill>
          </w14:textFill>
        </w:rPr>
      </w:pPr>
    </w:p>
    <w:p w14:paraId="6433F554">
      <w:pPr>
        <w:pStyle w:val="50"/>
        <w:ind w:firstLine="361"/>
        <w:rPr>
          <w:rFonts w:ascii="宋体" w:hAnsi="宋体"/>
          <w:b/>
          <w:color w:val="000000" w:themeColor="text1"/>
          <w:sz w:val="36"/>
          <w:szCs w:val="36"/>
          <w:highlight w:val="none"/>
          <w14:textFill>
            <w14:solidFill>
              <w14:schemeClr w14:val="tx1"/>
            </w14:solidFill>
          </w14:textFill>
        </w:rPr>
      </w:pPr>
    </w:p>
    <w:p w14:paraId="04202D63">
      <w:pPr>
        <w:rPr>
          <w:rFonts w:ascii="宋体" w:hAnsi="宋体"/>
          <w:b/>
          <w:color w:val="000000" w:themeColor="text1"/>
          <w:sz w:val="36"/>
          <w:szCs w:val="36"/>
          <w:highlight w:val="none"/>
          <w14:textFill>
            <w14:solidFill>
              <w14:schemeClr w14:val="tx1"/>
            </w14:solidFill>
          </w14:textFill>
        </w:rPr>
      </w:pPr>
    </w:p>
    <w:p w14:paraId="66C5D43A">
      <w:pPr>
        <w:rPr>
          <w:rFonts w:ascii="黑体" w:hAnsi="黑体" w:eastAsia="黑体" w:cs="黑体"/>
          <w:b/>
          <w:color w:val="000000" w:themeColor="text1"/>
          <w:sz w:val="36"/>
          <w:szCs w:val="36"/>
          <w:highlight w:val="none"/>
          <w14:textFill>
            <w14:solidFill>
              <w14:schemeClr w14:val="tx1"/>
            </w14:solidFill>
          </w14:textFill>
        </w:rPr>
      </w:pPr>
    </w:p>
    <w:p w14:paraId="5FC5B859">
      <w:pPr>
        <w:pStyle w:val="32"/>
        <w:rPr>
          <w:color w:val="000000" w:themeColor="text1"/>
          <w:highlight w:val="none"/>
          <w14:textFill>
            <w14:solidFill>
              <w14:schemeClr w14:val="tx1"/>
            </w14:solidFill>
          </w14:textFill>
        </w:rPr>
      </w:pPr>
    </w:p>
    <w:p w14:paraId="53E3074C">
      <w:pPr>
        <w:rPr>
          <w:color w:val="000000" w:themeColor="text1"/>
          <w:highlight w:val="none"/>
          <w14:textFill>
            <w14:solidFill>
              <w14:schemeClr w14:val="tx1"/>
            </w14:solidFill>
          </w14:textFill>
        </w:rPr>
      </w:pPr>
    </w:p>
    <w:p w14:paraId="686833DD">
      <w:pPr>
        <w:pStyle w:val="32"/>
        <w:rPr>
          <w:color w:val="000000" w:themeColor="text1"/>
          <w:highlight w:val="none"/>
          <w14:textFill>
            <w14:solidFill>
              <w14:schemeClr w14:val="tx1"/>
            </w14:solidFill>
          </w14:textFill>
        </w:rPr>
      </w:pPr>
    </w:p>
    <w:p w14:paraId="7724A5E7">
      <w:pPr>
        <w:rPr>
          <w:color w:val="000000" w:themeColor="text1"/>
          <w:highlight w:val="none"/>
          <w14:textFill>
            <w14:solidFill>
              <w14:schemeClr w14:val="tx1"/>
            </w14:solidFill>
          </w14:textFill>
        </w:rPr>
      </w:pPr>
    </w:p>
    <w:p w14:paraId="39C35548">
      <w:pPr>
        <w:pStyle w:val="32"/>
        <w:rPr>
          <w:color w:val="000000" w:themeColor="text1"/>
          <w:highlight w:val="none"/>
          <w14:textFill>
            <w14:solidFill>
              <w14:schemeClr w14:val="tx1"/>
            </w14:solidFill>
          </w14:textFill>
        </w:rPr>
      </w:pPr>
    </w:p>
    <w:p w14:paraId="0C536A44">
      <w:pPr>
        <w:rPr>
          <w:color w:val="000000" w:themeColor="text1"/>
          <w:highlight w:val="none"/>
          <w14:textFill>
            <w14:solidFill>
              <w14:schemeClr w14:val="tx1"/>
            </w14:solidFill>
          </w14:textFill>
        </w:rPr>
      </w:pPr>
    </w:p>
    <w:p w14:paraId="12B77D0E">
      <w:pPr>
        <w:pStyle w:val="32"/>
        <w:rPr>
          <w:color w:val="000000" w:themeColor="text1"/>
          <w:highlight w:val="none"/>
          <w14:textFill>
            <w14:solidFill>
              <w14:schemeClr w14:val="tx1"/>
            </w14:solidFill>
          </w14:textFill>
        </w:rPr>
      </w:pPr>
    </w:p>
    <w:p w14:paraId="49863D07">
      <w:pPr>
        <w:rPr>
          <w:color w:val="000000" w:themeColor="text1"/>
          <w:highlight w:val="none"/>
          <w14:textFill>
            <w14:solidFill>
              <w14:schemeClr w14:val="tx1"/>
            </w14:solidFill>
          </w14:textFill>
        </w:rPr>
      </w:pPr>
    </w:p>
    <w:p w14:paraId="11537C8E">
      <w:pPr>
        <w:pStyle w:val="32"/>
        <w:rPr>
          <w:color w:val="000000" w:themeColor="text1"/>
          <w:highlight w:val="none"/>
          <w14:textFill>
            <w14:solidFill>
              <w14:schemeClr w14:val="tx1"/>
            </w14:solidFill>
          </w14:textFill>
        </w:rPr>
      </w:pPr>
    </w:p>
    <w:p w14:paraId="2DFC7339">
      <w:pPr>
        <w:rPr>
          <w:color w:val="000000" w:themeColor="text1"/>
          <w:highlight w:val="none"/>
          <w14:textFill>
            <w14:solidFill>
              <w14:schemeClr w14:val="tx1"/>
            </w14:solidFill>
          </w14:textFill>
        </w:rPr>
      </w:pPr>
    </w:p>
    <w:p w14:paraId="5C8B4F5E">
      <w:pPr>
        <w:pStyle w:val="32"/>
        <w:rPr>
          <w:color w:val="000000" w:themeColor="text1"/>
          <w:highlight w:val="none"/>
          <w14:textFill>
            <w14:solidFill>
              <w14:schemeClr w14:val="tx1"/>
            </w14:solidFill>
          </w14:textFill>
        </w:rPr>
      </w:pPr>
    </w:p>
    <w:p w14:paraId="6E1615F1">
      <w:pPr>
        <w:rPr>
          <w:color w:val="000000" w:themeColor="text1"/>
          <w:highlight w:val="none"/>
          <w14:textFill>
            <w14:solidFill>
              <w14:schemeClr w14:val="tx1"/>
            </w14:solidFill>
          </w14:textFill>
        </w:rPr>
      </w:pPr>
    </w:p>
    <w:p w14:paraId="0D62BC52">
      <w:pPr>
        <w:pStyle w:val="32"/>
        <w:rPr>
          <w:color w:val="000000" w:themeColor="text1"/>
          <w:highlight w:val="none"/>
          <w14:textFill>
            <w14:solidFill>
              <w14:schemeClr w14:val="tx1"/>
            </w14:solidFill>
          </w14:textFill>
        </w:rPr>
      </w:pPr>
    </w:p>
    <w:p w14:paraId="4A66371C">
      <w:pPr>
        <w:rPr>
          <w:color w:val="000000" w:themeColor="text1"/>
          <w:highlight w:val="none"/>
          <w14:textFill>
            <w14:solidFill>
              <w14:schemeClr w14:val="tx1"/>
            </w14:solidFill>
          </w14:textFill>
        </w:rPr>
      </w:pPr>
    </w:p>
    <w:p w14:paraId="7AED0CED">
      <w:pPr>
        <w:pStyle w:val="32"/>
        <w:rPr>
          <w:color w:val="000000" w:themeColor="text1"/>
          <w:highlight w:val="none"/>
          <w14:textFill>
            <w14:solidFill>
              <w14:schemeClr w14:val="tx1"/>
            </w14:solidFill>
          </w14:textFill>
        </w:rPr>
      </w:pPr>
    </w:p>
    <w:p w14:paraId="05C82B17">
      <w:pPr>
        <w:rPr>
          <w:color w:val="000000" w:themeColor="text1"/>
          <w:highlight w:val="none"/>
          <w14:textFill>
            <w14:solidFill>
              <w14:schemeClr w14:val="tx1"/>
            </w14:solidFill>
          </w14:textFill>
        </w:rPr>
      </w:pPr>
    </w:p>
    <w:p w14:paraId="00A49882">
      <w:pPr>
        <w:pStyle w:val="32"/>
        <w:rPr>
          <w:color w:val="000000" w:themeColor="text1"/>
          <w:highlight w:val="none"/>
          <w14:textFill>
            <w14:solidFill>
              <w14:schemeClr w14:val="tx1"/>
            </w14:solidFill>
          </w14:textFill>
        </w:rPr>
      </w:pPr>
    </w:p>
    <w:p w14:paraId="69A814A3">
      <w:pPr>
        <w:pStyle w:val="26"/>
        <w:spacing w:before="120" w:after="120" w:line="440" w:lineRule="exact"/>
        <w:rPr>
          <w:rFonts w:hAnsi="宋体" w:cs="宋体"/>
          <w:b/>
          <w:color w:val="000000" w:themeColor="text1"/>
          <w:sz w:val="36"/>
          <w:szCs w:val="36"/>
          <w:highlight w:val="none"/>
          <w14:textFill>
            <w14:solidFill>
              <w14:schemeClr w14:val="tx1"/>
            </w14:solidFill>
          </w14:textFill>
        </w:rPr>
      </w:pPr>
    </w:p>
    <w:p w14:paraId="2298138E">
      <w:pPr>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2E054BEA">
      <w:pPr>
        <w:pStyle w:val="46"/>
        <w:spacing w:beforeAutospacing="0" w:afterAutospacing="0"/>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（六）符合公告的相关证明材料</w:t>
      </w:r>
    </w:p>
    <w:p w14:paraId="774DD478">
      <w:pPr>
        <w:pStyle w:val="26"/>
        <w:spacing w:before="120" w:after="120" w:line="440" w:lineRule="exact"/>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143FA055">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（七）法定代表人身份证明书</w:t>
      </w:r>
    </w:p>
    <w:p w14:paraId="0DF4D45C">
      <w:pPr>
        <w:rPr>
          <w:rFonts w:ascii="宋体" w:hAnsi="宋体"/>
          <w:color w:val="000000" w:themeColor="text1"/>
          <w:sz w:val="32"/>
          <w:highlight w:val="none"/>
          <w14:textFill>
            <w14:solidFill>
              <w14:schemeClr w14:val="tx1"/>
            </w14:solidFill>
          </w14:textFill>
        </w:rPr>
      </w:pPr>
    </w:p>
    <w:p w14:paraId="4D1D68E3">
      <w:pPr>
        <w:rPr>
          <w:rFonts w:ascii="宋体" w:hAnsi="宋体"/>
          <w:color w:val="000000" w:themeColor="text1"/>
          <w:sz w:val="24"/>
          <w:highlight w:val="none"/>
          <w14:textFill>
            <w14:solidFill>
              <w14:schemeClr w14:val="tx1"/>
            </w14:solidFill>
          </w14:textFill>
        </w:rPr>
      </w:pPr>
    </w:p>
    <w:p w14:paraId="3A798DE3">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单位名称：</w:t>
      </w:r>
      <w:r>
        <w:rPr>
          <w:rFonts w:hint="eastAsia" w:ascii="宋体" w:hAnsi="宋体"/>
          <w:color w:val="000000" w:themeColor="text1"/>
          <w:sz w:val="24"/>
          <w:highlight w:val="none"/>
          <w:u w:val="single"/>
          <w14:textFill>
            <w14:solidFill>
              <w14:schemeClr w14:val="tx1"/>
            </w14:solidFill>
          </w14:textFill>
        </w:rPr>
        <w:t xml:space="preserve">                                                  </w:t>
      </w:r>
    </w:p>
    <w:p w14:paraId="038B583E">
      <w:pPr>
        <w:rPr>
          <w:rFonts w:ascii="宋体" w:hAnsi="宋体"/>
          <w:color w:val="000000" w:themeColor="text1"/>
          <w:sz w:val="24"/>
          <w:highlight w:val="none"/>
          <w:u w:val="single"/>
          <w14:textFill>
            <w14:solidFill>
              <w14:schemeClr w14:val="tx1"/>
            </w14:solidFill>
          </w14:textFill>
        </w:rPr>
      </w:pPr>
    </w:p>
    <w:p w14:paraId="43C88002">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单位性质：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p>
    <w:p w14:paraId="669E6C80">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p>
    <w:p w14:paraId="13D8996E">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    址：</w:t>
      </w:r>
      <w:r>
        <w:rPr>
          <w:rFonts w:hint="eastAsia" w:ascii="宋体" w:hAnsi="宋体"/>
          <w:color w:val="000000" w:themeColor="text1"/>
          <w:sz w:val="24"/>
          <w:highlight w:val="none"/>
          <w:u w:val="single"/>
          <w14:textFill>
            <w14:solidFill>
              <w14:schemeClr w14:val="tx1"/>
            </w14:solidFill>
          </w14:textFill>
        </w:rPr>
        <w:t xml:space="preserve">                                                 </w:t>
      </w:r>
    </w:p>
    <w:p w14:paraId="19944756">
      <w:pPr>
        <w:rPr>
          <w:rFonts w:ascii="宋体" w:hAnsi="宋体"/>
          <w:color w:val="000000" w:themeColor="text1"/>
          <w:sz w:val="24"/>
          <w:highlight w:val="none"/>
          <w:u w:val="single"/>
          <w14:textFill>
            <w14:solidFill>
              <w14:schemeClr w14:val="tx1"/>
            </w14:solidFill>
          </w14:textFill>
        </w:rPr>
      </w:pPr>
    </w:p>
    <w:p w14:paraId="7B15DBB6">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 </w:t>
      </w:r>
    </w:p>
    <w:p w14:paraId="016B4F7C">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p>
    <w:p w14:paraId="0EC756D8">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经营期限：</w:t>
      </w:r>
      <w:r>
        <w:rPr>
          <w:rFonts w:hint="eastAsia" w:ascii="宋体" w:hAnsi="宋体"/>
          <w:color w:val="000000" w:themeColor="text1"/>
          <w:sz w:val="24"/>
          <w:highlight w:val="none"/>
          <w:u w:val="single"/>
          <w14:textFill>
            <w14:solidFill>
              <w14:schemeClr w14:val="tx1"/>
            </w14:solidFill>
          </w14:textFill>
        </w:rPr>
        <w:t xml:space="preserve">                                        </w:t>
      </w:r>
    </w:p>
    <w:p w14:paraId="0E279F8C">
      <w:pPr>
        <w:rPr>
          <w:rFonts w:ascii="宋体" w:hAnsi="宋体"/>
          <w:color w:val="000000" w:themeColor="text1"/>
          <w:sz w:val="24"/>
          <w:highlight w:val="none"/>
          <w:u w:val="single"/>
          <w14:textFill>
            <w14:solidFill>
              <w14:schemeClr w14:val="tx1"/>
            </w14:solidFill>
          </w14:textFill>
        </w:rPr>
      </w:pPr>
    </w:p>
    <w:p w14:paraId="6DB7475C">
      <w:pPr>
        <w:ind w:left="3598" w:hanging="27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    名：</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身份证号：</w:t>
      </w:r>
      <w:r>
        <w:rPr>
          <w:rFonts w:hint="eastAsia" w:ascii="宋体" w:hAnsi="宋体"/>
          <w:color w:val="000000" w:themeColor="text1"/>
          <w:sz w:val="24"/>
          <w:highlight w:val="none"/>
          <w:u w:val="single"/>
          <w14:textFill>
            <w14:solidFill>
              <w14:schemeClr w14:val="tx1"/>
            </w14:solidFill>
          </w14:textFill>
        </w:rPr>
        <w:t xml:space="preserve">                      </w:t>
      </w:r>
    </w:p>
    <w:p w14:paraId="4C8E99A2">
      <w:pPr>
        <w:rPr>
          <w:rFonts w:ascii="宋体" w:hAnsi="宋体"/>
          <w:color w:val="000000" w:themeColor="text1"/>
          <w:sz w:val="24"/>
          <w:highlight w:val="none"/>
          <w14:textFill>
            <w14:solidFill>
              <w14:schemeClr w14:val="tx1"/>
            </w14:solidFill>
          </w14:textFill>
        </w:rPr>
      </w:pPr>
    </w:p>
    <w:p w14:paraId="2E8C1103">
      <w:pPr>
        <w:ind w:firstLine="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系</w:t>
      </w:r>
      <w:r>
        <w:rPr>
          <w:rFonts w:hint="eastAsia" w:ascii="宋体" w:hAnsi="宋体"/>
          <w:color w:val="000000" w:themeColor="text1"/>
          <w:sz w:val="24"/>
          <w:highlight w:val="none"/>
          <w:u w:val="single"/>
          <w14:textFill>
            <w14:solidFill>
              <w14:schemeClr w14:val="tx1"/>
            </w14:solidFill>
          </w14:textFill>
        </w:rPr>
        <w:t xml:space="preserve">                   （投标单位名称)</w:t>
      </w:r>
      <w:r>
        <w:rPr>
          <w:rFonts w:hint="eastAsia" w:ascii="宋体" w:hAnsi="宋体"/>
          <w:color w:val="000000" w:themeColor="text1"/>
          <w:sz w:val="24"/>
          <w:highlight w:val="none"/>
          <w14:textFill>
            <w14:solidFill>
              <w14:schemeClr w14:val="tx1"/>
            </w14:solidFill>
          </w14:textFill>
        </w:rPr>
        <w:t>的法定代表人或单位负责人。</w:t>
      </w:r>
    </w:p>
    <w:p w14:paraId="31A46CE6">
      <w:pPr>
        <w:rPr>
          <w:rFonts w:ascii="宋体" w:hAnsi="宋体"/>
          <w:color w:val="000000" w:themeColor="text1"/>
          <w:sz w:val="24"/>
          <w:highlight w:val="none"/>
          <w14:textFill>
            <w14:solidFill>
              <w14:schemeClr w14:val="tx1"/>
            </w14:solidFill>
          </w14:textFill>
        </w:rPr>
      </w:pPr>
    </w:p>
    <w:p w14:paraId="79979AF3">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特此证明。</w:t>
      </w:r>
    </w:p>
    <w:tbl>
      <w:tblPr>
        <w:tblStyle w:val="52"/>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5D826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5068743E">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（法定代表人身份证扫描件粘贴处）</w:t>
            </w:r>
          </w:p>
        </w:tc>
      </w:tr>
    </w:tbl>
    <w:p w14:paraId="724B82DE">
      <w:pPr>
        <w:rPr>
          <w:rFonts w:ascii="宋体" w:hAnsi="宋体"/>
          <w:color w:val="000000" w:themeColor="text1"/>
          <w:sz w:val="24"/>
          <w:highlight w:val="none"/>
          <w14:textFill>
            <w14:solidFill>
              <w14:schemeClr w14:val="tx1"/>
            </w14:solidFill>
          </w14:textFill>
        </w:rPr>
      </w:pPr>
    </w:p>
    <w:p w14:paraId="77013E90">
      <w:pPr>
        <w:rPr>
          <w:rFonts w:ascii="宋体" w:hAnsi="宋体"/>
          <w:color w:val="000000" w:themeColor="text1"/>
          <w:sz w:val="24"/>
          <w:highlight w:val="none"/>
          <w14:textFill>
            <w14:solidFill>
              <w14:schemeClr w14:val="tx1"/>
            </w14:solidFill>
          </w14:textFill>
        </w:rPr>
      </w:pPr>
    </w:p>
    <w:p w14:paraId="5B541606">
      <w:pPr>
        <w:ind w:firstLine="444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投标单位(公章) ：</w:t>
      </w:r>
      <w:r>
        <w:rPr>
          <w:rFonts w:hint="eastAsia" w:ascii="宋体" w:hAnsi="宋体"/>
          <w:color w:val="000000" w:themeColor="text1"/>
          <w:sz w:val="24"/>
          <w:highlight w:val="none"/>
          <w:u w:val="single"/>
          <w14:textFill>
            <w14:solidFill>
              <w14:schemeClr w14:val="tx1"/>
            </w14:solidFill>
          </w14:textFill>
        </w:rPr>
        <w:t xml:space="preserve">                </w:t>
      </w:r>
    </w:p>
    <w:p w14:paraId="39AADDB0">
      <w:pPr>
        <w:rPr>
          <w:rFonts w:ascii="宋体" w:hAnsi="宋体"/>
          <w:color w:val="000000" w:themeColor="text1"/>
          <w:sz w:val="24"/>
          <w:highlight w:val="none"/>
          <w:u w:val="single"/>
          <w14:textFill>
            <w14:solidFill>
              <w14:schemeClr w14:val="tx1"/>
            </w14:solidFill>
          </w14:textFill>
        </w:rPr>
      </w:pPr>
    </w:p>
    <w:p w14:paraId="3A3E5C6C">
      <w:pPr>
        <w:rPr>
          <w:rFonts w:ascii="宋体" w:hAnsi="宋体"/>
          <w:color w:val="000000" w:themeColor="text1"/>
          <w:sz w:val="24"/>
          <w:highlight w:val="none"/>
          <w:u w:val="single"/>
          <w14:textFill>
            <w14:solidFill>
              <w14:schemeClr w14:val="tx1"/>
            </w14:solidFill>
          </w14:textFill>
        </w:rPr>
      </w:pPr>
    </w:p>
    <w:p w14:paraId="743BE414">
      <w:pPr>
        <w:ind w:firstLine="44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45C87CBD">
      <w:pPr>
        <w:pStyle w:val="26"/>
        <w:spacing w:before="120" w:after="120" w:line="440" w:lineRule="exact"/>
        <w:ind w:firstLine="2530"/>
        <w:rPr>
          <w:rFonts w:hAnsi="宋体" w:cs="宋体"/>
          <w:b/>
          <w:color w:val="000000" w:themeColor="text1"/>
          <w:sz w:val="36"/>
          <w:szCs w:val="36"/>
          <w:highlight w:val="none"/>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br w:type="page" w:clear="all"/>
      </w:r>
      <w:r>
        <w:rPr>
          <w:rFonts w:hint="eastAsia" w:hAnsi="宋体" w:cs="宋体"/>
          <w:b/>
          <w:color w:val="000000" w:themeColor="text1"/>
          <w:sz w:val="36"/>
          <w:szCs w:val="36"/>
          <w:highlight w:val="none"/>
          <w14:textFill>
            <w14:solidFill>
              <w14:schemeClr w14:val="tx1"/>
            </w14:solidFill>
          </w14:textFill>
        </w:rPr>
        <w:t>法定代表人授权委托书</w:t>
      </w:r>
    </w:p>
    <w:p w14:paraId="185898C7">
      <w:pPr>
        <w:rPr>
          <w:color w:val="000000" w:themeColor="text1"/>
          <w:highlight w:val="none"/>
          <w14:textFill>
            <w14:solidFill>
              <w14:schemeClr w14:val="tx1"/>
            </w14:solidFill>
          </w14:textFill>
        </w:rPr>
      </w:pPr>
    </w:p>
    <w:p w14:paraId="5DFC7C01">
      <w:pPr>
        <w:rPr>
          <w:color w:val="000000" w:themeColor="text1"/>
          <w:highlight w:val="none"/>
          <w14:textFill>
            <w14:solidFill>
              <w14:schemeClr w14:val="tx1"/>
            </w14:solidFill>
          </w14:textFill>
        </w:rPr>
      </w:pPr>
    </w:p>
    <w:p w14:paraId="5BE85A79">
      <w:pPr>
        <w:spacing w:line="50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本授权委托书声明：我</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（姓名）系</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（投标人名称）的法定代表人或单位负责人，现授权委托</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（单位名称）</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（姓名）为我的代理人，以本公司的名义参加</w:t>
      </w:r>
      <w:r>
        <w:rPr>
          <w:rFonts w:hint="eastAsia" w:ascii="宋体" w:hAnsi="宋体"/>
          <w:color w:val="000000" w:themeColor="text1"/>
          <w:sz w:val="24"/>
          <w:highlight w:val="none"/>
          <w:u w:val="single"/>
          <w14:textFill>
            <w14:solidFill>
              <w14:schemeClr w14:val="tx1"/>
            </w14:solidFill>
          </w14:textFill>
        </w:rPr>
        <w:t>　　　　　　　　　　　　　　　　　</w:t>
      </w:r>
      <w:r>
        <w:rPr>
          <w:rFonts w:hint="eastAsia" w:ascii="宋体" w:hAnsi="宋体"/>
          <w:color w:val="000000" w:themeColor="text1"/>
          <w:sz w:val="24"/>
          <w:highlight w:val="none"/>
          <w14:textFill>
            <w14:solidFill>
              <w14:schemeClr w14:val="tx1"/>
            </w14:solidFill>
          </w14:textFill>
        </w:rPr>
        <w:t>的投标活动。代理人在开标、询标、合同谈判等过程中所签署的一切文件和处理与之有关的一切事务，我均予以承认。</w:t>
      </w:r>
    </w:p>
    <w:p w14:paraId="6039B59F">
      <w:pPr>
        <w:spacing w:line="500" w:lineRule="exact"/>
        <w:rPr>
          <w:rFonts w:ascii="宋体" w:hAnsi="宋体"/>
          <w:color w:val="000000" w:themeColor="text1"/>
          <w:sz w:val="24"/>
          <w:highlight w:val="none"/>
          <w14:textFill>
            <w14:solidFill>
              <w14:schemeClr w14:val="tx1"/>
            </w14:solidFill>
          </w14:textFill>
        </w:rPr>
      </w:pPr>
    </w:p>
    <w:p w14:paraId="79B25D21">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代理人无转委权，特此委托。</w:t>
      </w:r>
    </w:p>
    <w:p w14:paraId="087CD06A">
      <w:pPr>
        <w:spacing w:line="500" w:lineRule="exact"/>
        <w:rPr>
          <w:rFonts w:ascii="宋体" w:hAnsi="宋体"/>
          <w:color w:val="000000" w:themeColor="text1"/>
          <w:sz w:val="24"/>
          <w:highlight w:val="none"/>
          <w14:textFill>
            <w14:solidFill>
              <w14:schemeClr w14:val="tx1"/>
            </w14:solidFill>
          </w14:textFill>
        </w:rPr>
      </w:pPr>
    </w:p>
    <w:p w14:paraId="71B9482F">
      <w:pPr>
        <w:spacing w:line="50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代理人：　　　　      代理人联系电话（手机号）：　　     　　</w:t>
      </w:r>
    </w:p>
    <w:p w14:paraId="5BB8884E">
      <w:pPr>
        <w:spacing w:line="500" w:lineRule="exact"/>
        <w:ind w:firstLine="480"/>
        <w:jc w:val="left"/>
        <w:rPr>
          <w:rFonts w:ascii="宋体" w:hAnsi="宋体"/>
          <w:color w:val="000000" w:themeColor="text1"/>
          <w:sz w:val="24"/>
          <w:highlight w:val="none"/>
          <w14:textFill>
            <w14:solidFill>
              <w14:schemeClr w14:val="tx1"/>
            </w14:solidFill>
          </w14:textFill>
        </w:rPr>
      </w:pPr>
    </w:p>
    <w:p w14:paraId="0BE19468">
      <w:pPr>
        <w:spacing w:line="50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投标人(法人印章)：</w:t>
      </w:r>
    </w:p>
    <w:p w14:paraId="3D61DBF3">
      <w:pPr>
        <w:spacing w:line="500" w:lineRule="exact"/>
        <w:ind w:firstLine="480"/>
        <w:jc w:val="left"/>
        <w:rPr>
          <w:rFonts w:ascii="宋体" w:hAnsi="宋体"/>
          <w:color w:val="000000" w:themeColor="text1"/>
          <w:sz w:val="24"/>
          <w:highlight w:val="none"/>
          <w14:textFill>
            <w14:solidFill>
              <w14:schemeClr w14:val="tx1"/>
            </w14:solidFill>
          </w14:textFill>
        </w:rPr>
      </w:pPr>
    </w:p>
    <w:p w14:paraId="6C0A4D55">
      <w:pPr>
        <w:spacing w:line="500" w:lineRule="exact"/>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法定代表人(印章或签字)：</w:t>
      </w:r>
    </w:p>
    <w:p w14:paraId="645B8527">
      <w:pPr>
        <w:rPr>
          <w:rFonts w:ascii="宋体" w:hAnsi="宋体"/>
          <w:color w:val="000000" w:themeColor="text1"/>
          <w:sz w:val="24"/>
          <w:highlight w:val="none"/>
          <w14:textFill>
            <w14:solidFill>
              <w14:schemeClr w14:val="tx1"/>
            </w14:solidFill>
          </w14:textFill>
        </w:rPr>
      </w:pPr>
    </w:p>
    <w:p w14:paraId="045519EC">
      <w:pPr>
        <w:spacing w:after="161" w:line="480" w:lineRule="exact"/>
        <w:jc w:val="righ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月   日</w:t>
      </w:r>
    </w:p>
    <w:p w14:paraId="46D54CEF">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附：</w:t>
      </w:r>
    </w:p>
    <w:tbl>
      <w:tblPr>
        <w:tblStyle w:val="52"/>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42C43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561F7E7B">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（代理人身份证扫描件粘贴处）</w:t>
            </w:r>
          </w:p>
        </w:tc>
      </w:tr>
    </w:tbl>
    <w:p w14:paraId="0B9023EA">
      <w:pPr>
        <w:spacing w:before="50" w:after="50"/>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r>
        <w:rPr>
          <w:rFonts w:hint="eastAsia" w:ascii="黑体" w:hAnsi="黑体" w:eastAsia="黑体" w:cs="黑体"/>
          <w:b/>
          <w:color w:val="000000" w:themeColor="text1"/>
          <w:sz w:val="36"/>
          <w:szCs w:val="36"/>
          <w:highlight w:val="none"/>
          <w14:textFill>
            <w14:solidFill>
              <w14:schemeClr w14:val="tx1"/>
            </w14:solidFill>
          </w14:textFill>
        </w:rPr>
        <w:br w:type="page" w:clear="all"/>
      </w:r>
    </w:p>
    <w:p w14:paraId="67DFD520">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（八）投标函</w:t>
      </w:r>
    </w:p>
    <w:p w14:paraId="279DE5AF">
      <w:pPr>
        <w:pStyle w:val="26"/>
        <w:spacing w:before="120" w:after="120" w:line="440" w:lineRule="exact"/>
        <w:rPr>
          <w:rFonts w:hAnsi="宋体"/>
          <w:color w:val="000000" w:themeColor="text1"/>
          <w:sz w:val="24"/>
          <w:highlight w:val="none"/>
          <w:u w:val="single"/>
          <w14:textFill>
            <w14:solidFill>
              <w14:schemeClr w14:val="tx1"/>
            </w14:solidFill>
          </w14:textFill>
        </w:rPr>
      </w:pPr>
      <w:r>
        <w:rPr>
          <w:rFonts w:hint="eastAsia" w:hAnsi="宋体"/>
          <w:color w:val="000000" w:themeColor="text1"/>
          <w:sz w:val="24"/>
          <w:highlight w:val="none"/>
          <w14:textFill>
            <w14:solidFill>
              <w14:schemeClr w14:val="tx1"/>
            </w14:solidFill>
          </w14:textFill>
        </w:rPr>
        <w:t>采购人：</w:t>
      </w:r>
      <w:r>
        <w:rPr>
          <w:rFonts w:hint="eastAsia" w:hAnsi="宋体"/>
          <w:b/>
          <w:bCs/>
          <w:color w:val="000000" w:themeColor="text1"/>
          <w:sz w:val="24"/>
          <w:highlight w:val="none"/>
          <w:u w:val="single"/>
          <w14:textFill>
            <w14:solidFill>
              <w14:schemeClr w14:val="tx1"/>
            </w14:solidFill>
          </w14:textFill>
        </w:rPr>
        <w:t xml:space="preserve"> </w:t>
      </w:r>
      <w:r>
        <w:rPr>
          <w:rFonts w:hAnsi="宋体"/>
          <w:b/>
          <w:bCs/>
          <w:color w:val="000000" w:themeColor="text1"/>
          <w:sz w:val="24"/>
          <w:highlight w:val="none"/>
          <w:u w:val="single"/>
          <w14:textFill>
            <w14:solidFill>
              <w14:schemeClr w14:val="tx1"/>
            </w14:solidFill>
          </w14:textFill>
        </w:rPr>
        <w:t xml:space="preserve">                      </w:t>
      </w:r>
    </w:p>
    <w:p w14:paraId="7733A754">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根据贵方的</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号招标文件，正式授权下述签字人____________(姓名)代表我方______________（投标人的名称），全权处理本次项目投标的有关事宜。</w:t>
      </w:r>
    </w:p>
    <w:p w14:paraId="760FDA24">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据此函，__________签字人兹宣布同意如下：</w:t>
      </w:r>
    </w:p>
    <w:p w14:paraId="71525E87">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1.按招标文件规定的各项要求，向买方提供所需货物与服务。</w:t>
      </w:r>
    </w:p>
    <w:p w14:paraId="3B8A4517">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2.我们完全理解贵方不一定将合同授予最低报价的投标人。</w:t>
      </w:r>
    </w:p>
    <w:p w14:paraId="5A559DAD">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3.我们已详细审核全部招标文件及其有效补充文件，我们知道必须放弃提出含糊不清或误解问题的权利。</w:t>
      </w:r>
    </w:p>
    <w:p w14:paraId="6FEE3963">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4.我们同意从规定的开标日期起遵循本投标文件，并在规定的投标有效期期满之前均具有约束力。</w:t>
      </w:r>
    </w:p>
    <w:p w14:paraId="500A1C1E">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5.如果在开标后规定的投标有效期内撤回投标或中标后拒绝签订合同，则按照国家相关法律法规受到相应处罚。</w:t>
      </w:r>
    </w:p>
    <w:p w14:paraId="4938179A">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6.同意向贵方提供贵方可能另外要求的与投标有关的任何证据或资料，并保证我方已提供和将要提供的文件是真实的、准确的。</w:t>
      </w:r>
    </w:p>
    <w:p w14:paraId="5B7E055B">
      <w:pPr>
        <w:pStyle w:val="25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7.一旦我方中标,我方将根据招标文件的规定，严格履行合同的责任和义务,并保证在招标文件规定的时间完成项目，交付买方验收、使用。</w:t>
      </w:r>
    </w:p>
    <w:p w14:paraId="4F715DA0">
      <w:pPr>
        <w:pStyle w:val="256"/>
        <w:spacing w:before="0" w:after="0" w:line="420" w:lineRule="exact"/>
        <w:ind w:left="425" w:firstLine="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8.与本投标有关的正式通讯地址为：</w:t>
      </w:r>
    </w:p>
    <w:p w14:paraId="4E63569D">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p>
    <w:p w14:paraId="5C26E585">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          编：</w:t>
      </w:r>
    </w:p>
    <w:p w14:paraId="4837E767">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p>
    <w:p w14:paraId="05B77198">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传          真：</w:t>
      </w:r>
    </w:p>
    <w:p w14:paraId="19A37457">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投标人开户行：</w:t>
      </w:r>
    </w:p>
    <w:p w14:paraId="4ABCD107">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p>
    <w:p w14:paraId="7F615FF9">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投标人授权代表姓名（签字）： </w:t>
      </w:r>
    </w:p>
    <w:p w14:paraId="55BFA1B0">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投标人名称（公章）： </w:t>
      </w:r>
    </w:p>
    <w:p w14:paraId="6A714F96">
      <w:pPr>
        <w:pStyle w:val="256"/>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期：________年____月____日</w:t>
      </w:r>
    </w:p>
    <w:p w14:paraId="00DC1DE8">
      <w:pPr>
        <w:jc w:val="center"/>
        <w:rPr>
          <w:rFonts w:ascii="黑体" w:hAnsi="黑体" w:eastAsia="黑体" w:cs="黑体"/>
          <w:b/>
          <w:color w:val="000000" w:themeColor="text1"/>
          <w:sz w:val="36"/>
          <w:szCs w:val="36"/>
          <w:highlight w:val="none"/>
          <w14:textFill>
            <w14:solidFill>
              <w14:schemeClr w14:val="tx1"/>
            </w14:solidFill>
          </w14:textFill>
        </w:rPr>
      </w:pPr>
    </w:p>
    <w:p w14:paraId="5C25BFB8">
      <w:pPr>
        <w:spacing w:before="50" w:after="50"/>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644819C9">
      <w:pPr>
        <w:spacing w:line="520" w:lineRule="exact"/>
        <w:jc w:val="center"/>
        <w:rPr>
          <w:color w:val="000000" w:themeColor="text1"/>
          <w:highlight w:val="none"/>
          <w14:textFill>
            <w14:solidFill>
              <w14:schemeClr w14:val="tx1"/>
            </w14:solidFill>
          </w14:textFill>
        </w:rPr>
      </w:pPr>
    </w:p>
    <w:p w14:paraId="6529B23D">
      <w:pPr>
        <w:widowControl/>
        <w:spacing w:line="500" w:lineRule="exact"/>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（九）中小企业声明函（货物）</w:t>
      </w:r>
    </w:p>
    <w:p w14:paraId="0331D0FA">
      <w:pPr>
        <w:spacing w:line="560" w:lineRule="exact"/>
        <w:rPr>
          <w:rFonts w:ascii="宋体" w:hAnsi="宋体"/>
          <w:b/>
          <w:bCs/>
          <w:color w:val="000000" w:themeColor="text1"/>
          <w:sz w:val="28"/>
          <w:szCs w:val="28"/>
          <w:highlight w:val="none"/>
          <w14:textFill>
            <w14:solidFill>
              <w14:schemeClr w14:val="tx1"/>
            </w14:solidFill>
          </w14:textFill>
        </w:rPr>
      </w:pPr>
    </w:p>
    <w:p w14:paraId="6DCDC62F">
      <w:pPr>
        <w:spacing w:line="360" w:lineRule="auto"/>
        <w:ind w:firstLine="480"/>
        <w:rPr>
          <w:rFonts w:ascii="宋体" w:hAnsi="宋体" w:cs="宋体"/>
          <w:color w:val="000000" w:themeColor="text1"/>
          <w:sz w:val="24"/>
          <w:szCs w:val="24"/>
          <w:highlight w:val="none"/>
          <w14:textFill>
            <w14:solidFill>
              <w14:schemeClr w14:val="tx1"/>
            </w14:solidFill>
          </w14:textFill>
        </w:rPr>
      </w:pPr>
      <w:bookmarkStart w:id="192" w:name="_Toc11581"/>
      <w:r>
        <w:rPr>
          <w:rFonts w:hint="eastAsia" w:ascii="宋体" w:hAnsi="宋体" w:cs="宋体"/>
          <w:color w:val="000000" w:themeColor="text1"/>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cs="宋体"/>
          <w:color w:val="000000" w:themeColor="text1"/>
          <w:sz w:val="24"/>
          <w:szCs w:val="24"/>
          <w:highlight w:val="none"/>
          <w14:textFill>
            <w14:solidFill>
              <w14:schemeClr w14:val="tx1"/>
            </w14:solidFill>
          </w14:textFill>
        </w:rPr>
        <w:t>的</w:t>
      </w:r>
      <w:r>
        <w:rPr>
          <w:rFonts w:hint="eastAsia" w:ascii="宋体" w:hAnsi="宋体" w:cs="宋体"/>
          <w:color w:val="000000" w:themeColor="text1"/>
          <w:sz w:val="24"/>
          <w:szCs w:val="24"/>
          <w:highlight w:val="none"/>
          <w:u w:val="single"/>
          <w14:textFill>
            <w14:solidFill>
              <w14:schemeClr w14:val="tx1"/>
            </w14:solidFill>
          </w14:textFill>
        </w:rPr>
        <w:t xml:space="preserve"> （项目名称） </w:t>
      </w:r>
      <w:r>
        <w:rPr>
          <w:rFonts w:hint="eastAsia" w:ascii="宋体" w:hAnsi="宋体" w:cs="宋体"/>
          <w:color w:val="000000" w:themeColor="text1"/>
          <w:sz w:val="24"/>
          <w:szCs w:val="24"/>
          <w:highlight w:val="none"/>
          <w14:textFill>
            <w14:solidFill>
              <w14:schemeClr w14:val="tx1"/>
            </w14:solidFill>
          </w14:textFill>
        </w:rPr>
        <w:t>采购活动，</w:t>
      </w:r>
      <w:r>
        <w:rPr>
          <w:rFonts w:hint="eastAsia" w:ascii="宋体" w:hAnsi="宋体" w:cs="宋体"/>
          <w:b/>
          <w:bCs/>
          <w:color w:val="000000" w:themeColor="text1"/>
          <w:sz w:val="24"/>
          <w:szCs w:val="24"/>
          <w:highlight w:val="none"/>
          <w14:textFill>
            <w14:solidFill>
              <w14:schemeClr w14:val="tx1"/>
            </w14:solidFill>
          </w14:textFill>
        </w:rPr>
        <w:t>提供的货物全部由符合政策要求的中小企业制造</w:t>
      </w:r>
      <w:r>
        <w:rPr>
          <w:rFonts w:hint="eastAsia" w:ascii="宋体" w:hAnsi="宋体" w:cs="宋体"/>
          <w:color w:val="000000" w:themeColor="text1"/>
          <w:sz w:val="24"/>
          <w:szCs w:val="24"/>
          <w:highlight w:val="none"/>
          <w14:textFill>
            <w14:solidFill>
              <w14:schemeClr w14:val="tx1"/>
            </w14:solidFill>
          </w14:textFill>
        </w:rPr>
        <w:t>。相关企业（含联合体中的中小企业、签订分包意向协议的中小企业）的具体情况如下：</w:t>
      </w:r>
    </w:p>
    <w:p w14:paraId="74FD08B4">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cs="宋体"/>
          <w:color w:val="000000" w:themeColor="text1"/>
          <w:sz w:val="24"/>
          <w:szCs w:val="24"/>
          <w:highlight w:val="none"/>
          <w14:textFill>
            <w14:solidFill>
              <w14:schemeClr w14:val="tx1"/>
            </w14:solidFill>
          </w14:textFill>
        </w:rPr>
        <w:t>，属于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w:t>
      </w:r>
    </w:p>
    <w:p w14:paraId="1276BF6B">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u w:val="single"/>
          <w14:textFill>
            <w14:solidFill>
              <w14:schemeClr w14:val="tx1"/>
            </w14:solidFill>
          </w14:textFill>
        </w:rPr>
        <w:t>（标的名称）</w:t>
      </w:r>
      <w:r>
        <w:rPr>
          <w:rFonts w:hint="eastAsia" w:ascii="宋体" w:hAnsi="宋体" w:cs="宋体"/>
          <w:color w:val="000000" w:themeColor="text1"/>
          <w:sz w:val="24"/>
          <w:szCs w:val="24"/>
          <w:highlight w:val="none"/>
          <w14:textFill>
            <w14:solidFill>
              <w14:schemeClr w14:val="tx1"/>
            </w14:solidFill>
          </w14:textFill>
        </w:rPr>
        <w:t xml:space="preserve"> ，属于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w:t>
      </w:r>
    </w:p>
    <w:p w14:paraId="2EB97440">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p w14:paraId="34BF616F">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56F8643F">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215DA6DA">
      <w:pPr>
        <w:spacing w:line="360" w:lineRule="auto"/>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企业名称（盖章）：</w:t>
      </w:r>
    </w:p>
    <w:p w14:paraId="50B3A2ED">
      <w:pPr>
        <w:spacing w:line="360" w:lineRule="auto"/>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 期：</w:t>
      </w:r>
    </w:p>
    <w:p w14:paraId="3B8DF9DF">
      <w:pPr>
        <w:spacing w:line="360" w:lineRule="auto"/>
        <w:rPr>
          <w:rFonts w:ascii="宋体" w:hAnsi="宋体" w:cs="宋体"/>
          <w:b/>
          <w:color w:val="000000" w:themeColor="text1"/>
          <w:sz w:val="22"/>
          <w:szCs w:val="20"/>
          <w:highlight w:val="none"/>
          <w14:textFill>
            <w14:solidFill>
              <w14:schemeClr w14:val="tx1"/>
            </w14:solidFill>
          </w14:textFill>
        </w:rPr>
      </w:pPr>
      <w:r>
        <w:rPr>
          <w:rFonts w:hint="eastAsia" w:ascii="宋体" w:hAnsi="宋体" w:cs="宋体"/>
          <w:b/>
          <w:color w:val="000000" w:themeColor="text1"/>
          <w:sz w:val="22"/>
          <w:szCs w:val="20"/>
          <w:highlight w:val="none"/>
          <w14:textFill>
            <w14:solidFill>
              <w14:schemeClr w14:val="tx1"/>
            </w14:solidFill>
          </w14:textFill>
        </w:rPr>
        <w:t>1 、从业人员、营业收入、资产总额填报上一年度数据，无上一年度数据的新成立企业可不填报</w:t>
      </w:r>
      <w:bookmarkEnd w:id="192"/>
    </w:p>
    <w:p w14:paraId="01F2B7EE">
      <w:pPr>
        <w:jc w:val="center"/>
        <w:rPr>
          <w:rFonts w:ascii="宋体" w:hAnsi="宋体" w:cs="宋体"/>
          <w:b/>
          <w:color w:val="000000" w:themeColor="text1"/>
          <w:sz w:val="36"/>
          <w:szCs w:val="36"/>
          <w:highlight w:val="none"/>
          <w14:textFill>
            <w14:solidFill>
              <w14:schemeClr w14:val="tx1"/>
            </w14:solidFill>
          </w14:textFill>
        </w:rPr>
      </w:pPr>
    </w:p>
    <w:p w14:paraId="2FFE98BE">
      <w:pPr>
        <w:jc w:val="center"/>
        <w:rPr>
          <w:rFonts w:ascii="宋体" w:hAnsi="宋体" w:cs="宋体"/>
          <w:b/>
          <w:color w:val="000000" w:themeColor="text1"/>
          <w:sz w:val="36"/>
          <w:szCs w:val="36"/>
          <w:highlight w:val="none"/>
          <w14:textFill>
            <w14:solidFill>
              <w14:schemeClr w14:val="tx1"/>
            </w14:solidFill>
          </w14:textFill>
        </w:rPr>
      </w:pPr>
    </w:p>
    <w:p w14:paraId="65BB74D9">
      <w:pPr>
        <w:jc w:val="center"/>
        <w:rPr>
          <w:rFonts w:ascii="宋体" w:hAnsi="宋体" w:cs="宋体"/>
          <w:b/>
          <w:color w:val="000000" w:themeColor="text1"/>
          <w:sz w:val="36"/>
          <w:szCs w:val="36"/>
          <w:highlight w:val="none"/>
          <w14:textFill>
            <w14:solidFill>
              <w14:schemeClr w14:val="tx1"/>
            </w14:solidFill>
          </w14:textFill>
        </w:rPr>
      </w:pPr>
    </w:p>
    <w:p w14:paraId="5B4531EA">
      <w:pPr>
        <w:widowControl/>
        <w:spacing w:line="500" w:lineRule="exact"/>
        <w:jc w:val="center"/>
        <w:rPr>
          <w:rFonts w:ascii="黑体" w:hAnsi="黑体" w:eastAsia="黑体" w:cs="黑体"/>
          <w:b/>
          <w:color w:val="000000" w:themeColor="text1"/>
          <w:sz w:val="36"/>
          <w:szCs w:val="36"/>
          <w:highlight w:val="none"/>
          <w14:textFill>
            <w14:solidFill>
              <w14:schemeClr w14:val="tx1"/>
            </w14:solidFill>
          </w14:textFill>
        </w:rPr>
      </w:pPr>
    </w:p>
    <w:p w14:paraId="7D2D3A42">
      <w:pPr>
        <w:widowControl/>
        <w:spacing w:line="500" w:lineRule="exact"/>
        <w:jc w:val="center"/>
        <w:rPr>
          <w:rFonts w:ascii="黑体" w:hAnsi="黑体" w:eastAsia="黑体" w:cs="黑体"/>
          <w:b/>
          <w:color w:val="000000" w:themeColor="text1"/>
          <w:sz w:val="36"/>
          <w:szCs w:val="36"/>
          <w:highlight w:val="none"/>
          <w14:textFill>
            <w14:solidFill>
              <w14:schemeClr w14:val="tx1"/>
            </w14:solidFill>
          </w14:textFill>
        </w:rPr>
      </w:pPr>
    </w:p>
    <w:p w14:paraId="2D9B3E98">
      <w:pPr>
        <w:pageBreakBefore/>
        <w:widowControl/>
        <w:spacing w:line="500" w:lineRule="exact"/>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（十）残疾人福利性单位声明函（如有）</w:t>
      </w:r>
    </w:p>
    <w:p w14:paraId="4A0052BD">
      <w:pPr>
        <w:spacing w:line="588" w:lineRule="exact"/>
        <w:rPr>
          <w:rFonts w:ascii="仿宋_GB2312" w:eastAsia="仿宋_GB2312"/>
          <w:b/>
          <w:color w:val="000000" w:themeColor="text1"/>
          <w:spacing w:val="6"/>
          <w:sz w:val="30"/>
          <w:szCs w:val="30"/>
          <w:highlight w:val="none"/>
          <w14:textFill>
            <w14:solidFill>
              <w14:schemeClr w14:val="tx1"/>
            </w14:solidFill>
          </w14:textFill>
        </w:rPr>
      </w:pPr>
    </w:p>
    <w:p w14:paraId="1995FB6B">
      <w:pPr>
        <w:spacing w:line="588" w:lineRule="exact"/>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〔2017〕141</w:t>
      </w:r>
      <w:r>
        <w:rPr>
          <w:rFonts w:hint="eastAsia" w:ascii="宋体" w:hAnsi="宋体" w:cs="宋体"/>
          <w:color w:val="000000" w:themeColor="text1"/>
          <w:spacing w:val="6"/>
          <w:sz w:val="24"/>
          <w:highlight w:val="none"/>
          <w14:textFill>
            <w14:solidFill>
              <w14:schemeClr w14:val="tx1"/>
            </w14:solidFill>
          </w14:textFill>
        </w:rPr>
        <w:t>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hAnsi="宋体" w:cs="宋体"/>
          <w:b/>
          <w:bCs/>
          <w:color w:val="000000" w:themeColor="text1"/>
          <w:sz w:val="24"/>
          <w:highlight w:val="none"/>
          <w:u w:val="single"/>
          <w:lang w:eastAsia="zh-CN"/>
          <w14:textFill>
            <w14:solidFill>
              <w14:schemeClr w14:val="tx1"/>
            </w14:solidFill>
          </w14:textFill>
        </w:rPr>
        <w:t>盐城市大丰人民医院血液科层流病房改造及设备采购项目</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的</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eastAsia="zh-CN"/>
          <w14:textFill>
            <w14:solidFill>
              <w14:schemeClr w14:val="tx1"/>
            </w14:solidFill>
          </w14:textFill>
        </w:rPr>
        <w:t>盐城市大丰人民医院血液科层流病房改造及设备采购项目</w:t>
      </w:r>
      <w:r>
        <w:rPr>
          <w:rFonts w:hint="eastAsia" w:ascii="宋体" w:hAnsi="宋体" w:cs="宋体"/>
          <w:color w:val="000000" w:themeColor="text1"/>
          <w:spacing w:val="6"/>
          <w:sz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208C9998">
      <w:pPr>
        <w:spacing w:line="588" w:lineRule="exact"/>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本单位在本次政府采购活动中提供的残疾人福利单位产品报价合计为人民币（大写）</w:t>
      </w:r>
      <w:r>
        <w:rPr>
          <w:rFonts w:hint="eastAsia" w:ascii="宋体" w:hAnsi="宋体" w:cs="宋体"/>
          <w:color w:val="000000" w:themeColor="text1"/>
          <w:spacing w:val="6"/>
          <w:sz w:val="24"/>
          <w:highlight w:val="none"/>
          <w:u w:val="single"/>
          <w14:textFill>
            <w14:solidFill>
              <w14:schemeClr w14:val="tx1"/>
            </w14:solidFill>
          </w14:textFill>
        </w:rPr>
        <w:t>      元整</w:t>
      </w:r>
      <w:r>
        <w:rPr>
          <w:rFonts w:hint="eastAsia" w:ascii="宋体" w:hAnsi="宋体" w:cs="宋体"/>
          <w:color w:val="000000" w:themeColor="text1"/>
          <w:spacing w:val="6"/>
          <w:sz w:val="24"/>
          <w:highlight w:val="none"/>
          <w14:textFill>
            <w14:solidFill>
              <w14:schemeClr w14:val="tx1"/>
            </w14:solidFill>
          </w14:textFill>
        </w:rPr>
        <w:t>（￥</w:t>
      </w:r>
      <w:r>
        <w:rPr>
          <w:rFonts w:hint="eastAsia" w:ascii="宋体" w:hAnsi="宋体" w:cs="宋体"/>
          <w:color w:val="000000" w:themeColor="text1"/>
          <w:spacing w:val="6"/>
          <w:sz w:val="24"/>
          <w:highlight w:val="none"/>
          <w:u w:val="single"/>
          <w14:textFill>
            <w14:solidFill>
              <w14:schemeClr w14:val="tx1"/>
            </w14:solidFill>
          </w14:textFill>
        </w:rPr>
        <w:t>：     </w:t>
      </w:r>
      <w:r>
        <w:rPr>
          <w:rFonts w:hint="eastAsia" w:ascii="宋体" w:hAnsi="宋体" w:cs="宋体"/>
          <w:color w:val="000000" w:themeColor="text1"/>
          <w:spacing w:val="6"/>
          <w:sz w:val="24"/>
          <w:highlight w:val="none"/>
          <w14:textFill>
            <w14:solidFill>
              <w14:schemeClr w14:val="tx1"/>
            </w14:solidFill>
          </w14:textFill>
        </w:rPr>
        <w:t>）。</w:t>
      </w:r>
    </w:p>
    <w:p w14:paraId="2A1486B7">
      <w:pPr>
        <w:spacing w:line="588" w:lineRule="exact"/>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本单位对上述声明的真实性负责。如有虚假，将依法承担相应责任。</w:t>
      </w:r>
    </w:p>
    <w:p w14:paraId="57426E4B">
      <w:pPr>
        <w:spacing w:line="588" w:lineRule="exact"/>
        <w:ind w:firstLine="504"/>
        <w:rPr>
          <w:rFonts w:ascii="宋体" w:hAnsi="宋体" w:cs="宋体"/>
          <w:color w:val="000000" w:themeColor="text1"/>
          <w:spacing w:val="6"/>
          <w:sz w:val="24"/>
          <w:highlight w:val="none"/>
          <w14:textFill>
            <w14:solidFill>
              <w14:schemeClr w14:val="tx1"/>
            </w14:solidFill>
          </w14:textFill>
        </w:rPr>
      </w:pPr>
    </w:p>
    <w:p w14:paraId="07AFC70A">
      <w:pPr>
        <w:spacing w:line="588" w:lineRule="exact"/>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（备注：1、投标人如不提供此声明函，价格将不做相应扣除。2、中标投标人为残疾人福利单位的，此声明函将随中标结果同时公告，接受社会监督）</w:t>
      </w:r>
    </w:p>
    <w:p w14:paraId="225499C5">
      <w:pPr>
        <w:spacing w:line="588" w:lineRule="exact"/>
        <w:ind w:firstLine="504"/>
        <w:rPr>
          <w:rFonts w:ascii="仿宋_GB2312" w:eastAsia="仿宋_GB2312"/>
          <w:color w:val="000000" w:themeColor="text1"/>
          <w:spacing w:val="6"/>
          <w:sz w:val="24"/>
          <w:highlight w:val="none"/>
          <w14:textFill>
            <w14:solidFill>
              <w14:schemeClr w14:val="tx1"/>
            </w14:solidFill>
          </w14:textFill>
        </w:rPr>
      </w:pPr>
    </w:p>
    <w:p w14:paraId="5DA4A67F">
      <w:pPr>
        <w:spacing w:line="588" w:lineRule="exact"/>
        <w:ind w:firstLine="504"/>
        <w:rPr>
          <w:rFonts w:ascii="仿宋_GB2312" w:eastAsia="仿宋_GB2312"/>
          <w:color w:val="000000" w:themeColor="text1"/>
          <w:spacing w:val="6"/>
          <w:sz w:val="24"/>
          <w:highlight w:val="none"/>
          <w14:textFill>
            <w14:solidFill>
              <w14:schemeClr w14:val="tx1"/>
            </w14:solidFill>
          </w14:textFill>
        </w:rPr>
      </w:pPr>
    </w:p>
    <w:p w14:paraId="7E803291">
      <w:pPr>
        <w:tabs>
          <w:tab w:val="left" w:pos="4860"/>
        </w:tabs>
        <w:spacing w:line="588" w:lineRule="exact"/>
        <w:ind w:right="1560" w:firstLine="504"/>
        <w:jc w:val="righ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授权代表亲笔签名：</w:t>
      </w:r>
    </w:p>
    <w:p w14:paraId="3E52352F">
      <w:pPr>
        <w:spacing w:line="588" w:lineRule="exact"/>
        <w:ind w:right="286" w:firstLine="504"/>
        <w:jc w:val="righ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日期：________年____月____日</w:t>
      </w:r>
    </w:p>
    <w:p w14:paraId="73310E08">
      <w:pPr>
        <w:rPr>
          <w:color w:val="000000" w:themeColor="text1"/>
          <w:highlight w:val="none"/>
          <w14:textFill>
            <w14:solidFill>
              <w14:schemeClr w14:val="tx1"/>
            </w14:solidFill>
          </w14:textFill>
        </w:rPr>
      </w:pPr>
    </w:p>
    <w:p w14:paraId="4308FF43">
      <w:pPr>
        <w:spacing w:line="480" w:lineRule="exact"/>
        <w:ind w:firstLine="723"/>
        <w:rPr>
          <w:rFonts w:ascii="宋体" w:hAnsi="宋体" w:cs="宋体"/>
          <w:b/>
          <w:color w:val="000000" w:themeColor="text1"/>
          <w:sz w:val="36"/>
          <w:szCs w:val="36"/>
          <w:highlight w:val="none"/>
          <w14:textFill>
            <w14:solidFill>
              <w14:schemeClr w14:val="tx1"/>
            </w14:solidFill>
          </w14:textFill>
        </w:rPr>
      </w:pPr>
    </w:p>
    <w:p w14:paraId="2E8D0B75">
      <w:pPr>
        <w:widowControl/>
        <w:spacing w:line="500" w:lineRule="exact"/>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b/>
          <w:color w:val="000000" w:themeColor="text1"/>
          <w:sz w:val="36"/>
          <w:szCs w:val="36"/>
          <w:highlight w:val="none"/>
          <w14:textFill>
            <w14:solidFill>
              <w14:schemeClr w14:val="tx1"/>
            </w14:solidFill>
          </w14:textFill>
        </w:rPr>
        <w:t>（十一）投标清单报价表</w:t>
      </w:r>
    </w:p>
    <w:p w14:paraId="1DB35415">
      <w:pPr>
        <w:spacing w:line="400" w:lineRule="exact"/>
        <w:rPr>
          <w:rFonts w:ascii="宋体" w:hAnsi="宋体" w:cs="Angsana New"/>
          <w:color w:val="000000" w:themeColor="text1"/>
          <w:sz w:val="24"/>
          <w:highlight w:val="none"/>
          <w:lang w:bidi="th-TH"/>
          <w14:textFill>
            <w14:solidFill>
              <w14:schemeClr w14:val="tx1"/>
            </w14:solidFill>
          </w14:textFill>
        </w:rPr>
      </w:pPr>
      <w:r>
        <w:rPr>
          <w:rFonts w:hint="eastAsia" w:ascii="宋体" w:hAnsi="宋体" w:cs="Angsana New"/>
          <w:color w:val="000000" w:themeColor="text1"/>
          <w:sz w:val="24"/>
          <w:highlight w:val="none"/>
          <w:lang w:bidi="th-TH"/>
          <w14:textFill>
            <w14:solidFill>
              <w14:schemeClr w14:val="tx1"/>
            </w14:solidFill>
          </w14:textFill>
        </w:rPr>
        <w:t xml:space="preserve">                                               </w:t>
      </w:r>
    </w:p>
    <w:tbl>
      <w:tblPr>
        <w:tblStyle w:val="52"/>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7A36B317">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vAlign w:val="center"/>
          </w:tcPr>
          <w:p w14:paraId="115D99EC">
            <w:pPr>
              <w:spacing w:line="360" w:lineRule="auto"/>
              <w:ind w:right="-5"/>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545" w:type="dxa"/>
            <w:tcBorders>
              <w:top w:val="single" w:color="auto" w:sz="4" w:space="0"/>
              <w:left w:val="single" w:color="auto" w:sz="4" w:space="0"/>
              <w:bottom w:val="single" w:color="auto" w:sz="4" w:space="0"/>
              <w:right w:val="single" w:color="auto" w:sz="6" w:space="0"/>
            </w:tcBorders>
            <w:noWrap w:val="0"/>
            <w:vAlign w:val="center"/>
          </w:tcPr>
          <w:p w14:paraId="5F6E1F3F">
            <w:pPr>
              <w:spacing w:line="360" w:lineRule="auto"/>
              <w:ind w:right="-5"/>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项目内容</w:t>
            </w:r>
          </w:p>
        </w:tc>
        <w:tc>
          <w:tcPr>
            <w:tcW w:w="951" w:type="dxa"/>
            <w:tcBorders>
              <w:top w:val="single" w:color="auto" w:sz="4" w:space="0"/>
              <w:left w:val="single" w:color="auto" w:sz="6" w:space="0"/>
              <w:bottom w:val="single" w:color="auto" w:sz="4" w:space="0"/>
              <w:right w:val="single" w:color="auto" w:sz="6" w:space="0"/>
            </w:tcBorders>
            <w:noWrap w:val="0"/>
            <w:vAlign w:val="center"/>
          </w:tcPr>
          <w:p w14:paraId="535137DE">
            <w:pPr>
              <w:spacing w:line="360" w:lineRule="auto"/>
              <w:ind w:right="-5"/>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w:t>
            </w:r>
          </w:p>
        </w:tc>
        <w:tc>
          <w:tcPr>
            <w:tcW w:w="923" w:type="dxa"/>
            <w:tcBorders>
              <w:top w:val="single" w:color="auto" w:sz="4" w:space="0"/>
              <w:left w:val="single" w:color="auto" w:sz="6" w:space="0"/>
              <w:bottom w:val="single" w:color="auto" w:sz="4" w:space="0"/>
              <w:right w:val="single" w:color="auto" w:sz="6" w:space="0"/>
            </w:tcBorders>
            <w:noWrap w:val="0"/>
            <w:vAlign w:val="center"/>
          </w:tcPr>
          <w:p w14:paraId="31751006">
            <w:pPr>
              <w:spacing w:line="360" w:lineRule="auto"/>
              <w:ind w:right="-5"/>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数量</w:t>
            </w:r>
          </w:p>
        </w:tc>
        <w:tc>
          <w:tcPr>
            <w:tcW w:w="1107" w:type="dxa"/>
            <w:tcBorders>
              <w:top w:val="single" w:color="auto" w:sz="4" w:space="0"/>
              <w:left w:val="single" w:color="auto" w:sz="6" w:space="0"/>
              <w:bottom w:val="single" w:color="auto" w:sz="4" w:space="0"/>
              <w:right w:val="single" w:color="auto" w:sz="6" w:space="0"/>
            </w:tcBorders>
            <w:noWrap w:val="0"/>
            <w:vAlign w:val="center"/>
          </w:tcPr>
          <w:p w14:paraId="4F216363">
            <w:pPr>
              <w:spacing w:line="360" w:lineRule="auto"/>
              <w:ind w:right="-5"/>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单价</w:t>
            </w:r>
          </w:p>
        </w:tc>
        <w:tc>
          <w:tcPr>
            <w:tcW w:w="898" w:type="dxa"/>
            <w:tcBorders>
              <w:top w:val="single" w:color="auto" w:sz="4" w:space="0"/>
              <w:left w:val="single" w:color="auto" w:sz="6" w:space="0"/>
              <w:bottom w:val="single" w:color="auto" w:sz="4" w:space="0"/>
              <w:right w:val="single" w:color="auto" w:sz="6" w:space="0"/>
            </w:tcBorders>
            <w:noWrap w:val="0"/>
            <w:vAlign w:val="center"/>
          </w:tcPr>
          <w:p w14:paraId="62FBEAD6">
            <w:pPr>
              <w:spacing w:line="360" w:lineRule="auto"/>
              <w:ind w:right="-5"/>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总价</w:t>
            </w:r>
          </w:p>
        </w:tc>
        <w:tc>
          <w:tcPr>
            <w:tcW w:w="1417" w:type="dxa"/>
            <w:tcBorders>
              <w:top w:val="single" w:color="auto" w:sz="4" w:space="0"/>
              <w:left w:val="single" w:color="auto" w:sz="6" w:space="0"/>
              <w:bottom w:val="single" w:color="auto" w:sz="4" w:space="0"/>
              <w:right w:val="single" w:color="auto" w:sz="4" w:space="0"/>
            </w:tcBorders>
            <w:noWrap w:val="0"/>
            <w:vAlign w:val="center"/>
          </w:tcPr>
          <w:p w14:paraId="504092E5">
            <w:pPr>
              <w:spacing w:line="360" w:lineRule="auto"/>
              <w:ind w:right="-5"/>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tc>
      </w:tr>
      <w:tr w14:paraId="2C8170B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0272378">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2941A698">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4FF24C4">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1DBB960C">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33BC3FE2">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E6F77D5">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4352B260">
            <w:pPr>
              <w:spacing w:line="360" w:lineRule="auto"/>
              <w:ind w:right="-5"/>
              <w:jc w:val="center"/>
              <w:rPr>
                <w:rFonts w:ascii="宋体" w:hAnsi="宋体" w:cs="宋体"/>
                <w:color w:val="000000" w:themeColor="text1"/>
                <w:highlight w:val="none"/>
                <w14:textFill>
                  <w14:solidFill>
                    <w14:schemeClr w14:val="tx1"/>
                  </w14:solidFill>
                </w14:textFill>
              </w:rPr>
            </w:pPr>
          </w:p>
        </w:tc>
      </w:tr>
      <w:tr w14:paraId="614B0AC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4D301149">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1529E708">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5AE688AA">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2D1A0D2">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1ED16CBC">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E982123">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2B635C04">
            <w:pPr>
              <w:spacing w:line="360" w:lineRule="auto"/>
              <w:ind w:right="-5"/>
              <w:jc w:val="center"/>
              <w:rPr>
                <w:rFonts w:ascii="宋体" w:hAnsi="宋体" w:cs="宋体"/>
                <w:color w:val="000000" w:themeColor="text1"/>
                <w:highlight w:val="none"/>
                <w14:textFill>
                  <w14:solidFill>
                    <w14:schemeClr w14:val="tx1"/>
                  </w14:solidFill>
                </w14:textFill>
              </w:rPr>
            </w:pPr>
          </w:p>
        </w:tc>
      </w:tr>
      <w:tr w14:paraId="45CFB8A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69E5E40">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11FD0D39">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1F75530D">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336859EE">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44E885D8">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60CC95A">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5A0CAC08">
            <w:pPr>
              <w:spacing w:line="360" w:lineRule="auto"/>
              <w:ind w:right="-5"/>
              <w:jc w:val="center"/>
              <w:rPr>
                <w:rFonts w:ascii="宋体" w:hAnsi="宋体" w:cs="宋体"/>
                <w:color w:val="000000" w:themeColor="text1"/>
                <w:highlight w:val="none"/>
                <w14:textFill>
                  <w14:solidFill>
                    <w14:schemeClr w14:val="tx1"/>
                  </w14:solidFill>
                </w14:textFill>
              </w:rPr>
            </w:pPr>
          </w:p>
        </w:tc>
      </w:tr>
      <w:tr w14:paraId="31B6D4D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3090989">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107E9438">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8E914BD">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0746D6CF">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13CAFE3E">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41CD841">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4D8E02AD">
            <w:pPr>
              <w:spacing w:line="360" w:lineRule="auto"/>
              <w:ind w:right="-5"/>
              <w:jc w:val="center"/>
              <w:rPr>
                <w:rFonts w:ascii="宋体" w:hAnsi="宋体" w:cs="宋体"/>
                <w:color w:val="000000" w:themeColor="text1"/>
                <w:highlight w:val="none"/>
                <w14:textFill>
                  <w14:solidFill>
                    <w14:schemeClr w14:val="tx1"/>
                  </w14:solidFill>
                </w14:textFill>
              </w:rPr>
            </w:pPr>
          </w:p>
        </w:tc>
      </w:tr>
      <w:tr w14:paraId="60BC1790">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08DD61C2">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FC61819">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4A2D209F">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11491DF">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440F6601">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38A16CF">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6F09DD90">
            <w:pPr>
              <w:spacing w:line="360" w:lineRule="auto"/>
              <w:ind w:right="-5"/>
              <w:jc w:val="center"/>
              <w:rPr>
                <w:rFonts w:ascii="宋体" w:hAnsi="宋体" w:cs="宋体"/>
                <w:color w:val="000000" w:themeColor="text1"/>
                <w:highlight w:val="none"/>
                <w14:textFill>
                  <w14:solidFill>
                    <w14:schemeClr w14:val="tx1"/>
                  </w14:solidFill>
                </w14:textFill>
              </w:rPr>
            </w:pPr>
          </w:p>
        </w:tc>
      </w:tr>
      <w:tr w14:paraId="02AF6BE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C98045A">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2055ABE6">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46414C8A">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DB762B1">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70D4BC77">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929AB58">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44ACDFB">
            <w:pPr>
              <w:spacing w:line="360" w:lineRule="auto"/>
              <w:ind w:right="-5"/>
              <w:jc w:val="center"/>
              <w:rPr>
                <w:rFonts w:ascii="宋体" w:hAnsi="宋体" w:cs="宋体"/>
                <w:color w:val="000000" w:themeColor="text1"/>
                <w:highlight w:val="none"/>
                <w14:textFill>
                  <w14:solidFill>
                    <w14:schemeClr w14:val="tx1"/>
                  </w14:solidFill>
                </w14:textFill>
              </w:rPr>
            </w:pPr>
          </w:p>
        </w:tc>
      </w:tr>
      <w:tr w14:paraId="497929B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E4BA01B">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435958A9">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6CF8A064">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DE5B1A2">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22A47DD7">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11681B4F">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3F4D386">
            <w:pPr>
              <w:spacing w:line="360" w:lineRule="auto"/>
              <w:ind w:right="-5"/>
              <w:jc w:val="center"/>
              <w:rPr>
                <w:rFonts w:ascii="宋体" w:hAnsi="宋体" w:cs="宋体"/>
                <w:color w:val="000000" w:themeColor="text1"/>
                <w:highlight w:val="none"/>
                <w14:textFill>
                  <w14:solidFill>
                    <w14:schemeClr w14:val="tx1"/>
                  </w14:solidFill>
                </w14:textFill>
              </w:rPr>
            </w:pPr>
          </w:p>
        </w:tc>
      </w:tr>
      <w:tr w14:paraId="4CC2FCB1">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C006853">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553A2AF4">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4F08A1B6">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703DE178">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4A1D0F2E">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70BA0544">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26045870">
            <w:pPr>
              <w:spacing w:line="360" w:lineRule="auto"/>
              <w:ind w:right="-5"/>
              <w:jc w:val="center"/>
              <w:rPr>
                <w:rFonts w:ascii="宋体" w:hAnsi="宋体" w:cs="宋体"/>
                <w:color w:val="000000" w:themeColor="text1"/>
                <w:highlight w:val="none"/>
                <w14:textFill>
                  <w14:solidFill>
                    <w14:schemeClr w14:val="tx1"/>
                  </w14:solidFill>
                </w14:textFill>
              </w:rPr>
            </w:pPr>
          </w:p>
        </w:tc>
      </w:tr>
      <w:tr w14:paraId="6D46D3D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6651355">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2DFB645">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62AE91EF">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9788E11">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10D9DE92">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6CC70A0B">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1678A150">
            <w:pPr>
              <w:spacing w:line="360" w:lineRule="auto"/>
              <w:ind w:right="-5"/>
              <w:jc w:val="center"/>
              <w:rPr>
                <w:rFonts w:ascii="宋体" w:hAnsi="宋体" w:cs="宋体"/>
                <w:color w:val="000000" w:themeColor="text1"/>
                <w:highlight w:val="none"/>
                <w14:textFill>
                  <w14:solidFill>
                    <w14:schemeClr w14:val="tx1"/>
                  </w14:solidFill>
                </w14:textFill>
              </w:rPr>
            </w:pPr>
          </w:p>
        </w:tc>
      </w:tr>
      <w:tr w14:paraId="4632015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C6FF369">
            <w:pPr>
              <w:spacing w:line="360" w:lineRule="auto"/>
              <w:ind w:right="-5"/>
              <w:jc w:val="center"/>
              <w:rPr>
                <w:rFonts w:ascii="宋体" w:hAnsi="宋体" w:cs="宋体"/>
                <w:color w:val="000000" w:themeColor="text1"/>
                <w:highlight w:val="none"/>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44A58958">
            <w:pPr>
              <w:spacing w:line="360" w:lineRule="auto"/>
              <w:ind w:right="-5"/>
              <w:jc w:val="center"/>
              <w:rPr>
                <w:rFonts w:ascii="宋体" w:hAnsi="宋体" w:cs="宋体"/>
                <w:color w:val="000000" w:themeColor="text1"/>
                <w:highlight w:val="none"/>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446D82A3">
            <w:pPr>
              <w:spacing w:line="360" w:lineRule="auto"/>
              <w:ind w:right="-5"/>
              <w:jc w:val="center"/>
              <w:rPr>
                <w:rFonts w:ascii="宋体" w:hAnsi="宋体" w:cs="宋体"/>
                <w:color w:val="000000" w:themeColor="text1"/>
                <w:highlight w:val="none"/>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36035326">
            <w:pPr>
              <w:spacing w:line="360" w:lineRule="auto"/>
              <w:ind w:right="-5"/>
              <w:jc w:val="center"/>
              <w:rPr>
                <w:rFonts w:ascii="宋体" w:hAnsi="宋体" w:cs="宋体"/>
                <w:color w:val="000000" w:themeColor="text1"/>
                <w:highlight w:val="none"/>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2D60EC5F">
            <w:pPr>
              <w:spacing w:line="360" w:lineRule="auto"/>
              <w:ind w:right="-5"/>
              <w:jc w:val="center"/>
              <w:rPr>
                <w:rFonts w:ascii="宋体" w:hAnsi="宋体" w:cs="宋体"/>
                <w:color w:val="000000" w:themeColor="text1"/>
                <w:highlight w:val="none"/>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0131B32">
            <w:pPr>
              <w:spacing w:line="360" w:lineRule="auto"/>
              <w:ind w:right="-5"/>
              <w:jc w:val="center"/>
              <w:rPr>
                <w:rFonts w:ascii="宋体" w:hAnsi="宋体" w:cs="宋体"/>
                <w:color w:val="000000" w:themeColor="text1"/>
                <w:highlight w:val="none"/>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2B63DB28">
            <w:pPr>
              <w:spacing w:line="360" w:lineRule="auto"/>
              <w:ind w:right="-5"/>
              <w:jc w:val="center"/>
              <w:rPr>
                <w:rFonts w:ascii="宋体" w:hAnsi="宋体" w:cs="宋体"/>
                <w:color w:val="000000" w:themeColor="text1"/>
                <w:highlight w:val="none"/>
                <w14:textFill>
                  <w14:solidFill>
                    <w14:schemeClr w14:val="tx1"/>
                  </w14:solidFill>
                </w14:textFill>
              </w:rPr>
            </w:pPr>
          </w:p>
        </w:tc>
      </w:tr>
    </w:tbl>
    <w:p w14:paraId="795D999C">
      <w:pPr>
        <w:pStyle w:val="26"/>
        <w:spacing w:before="120" w:after="120" w:line="280" w:lineRule="exact"/>
        <w:jc w:val="left"/>
        <w:rPr>
          <w:rFonts w:hAnsi="宋体" w:cs="Angsana New"/>
          <w:color w:val="000000" w:themeColor="text1"/>
          <w:highlight w:val="none"/>
          <w:lang w:bidi="th-TH"/>
          <w14:textFill>
            <w14:solidFill>
              <w14:schemeClr w14:val="tx1"/>
            </w14:solidFill>
          </w14:textFill>
        </w:rPr>
      </w:pPr>
      <w:r>
        <w:rPr>
          <w:rFonts w:hint="eastAsia" w:hAnsi="宋体" w:cs="Angsana New"/>
          <w:color w:val="000000" w:themeColor="text1"/>
          <w:highlight w:val="none"/>
          <w:lang w:bidi="th-TH"/>
          <w14:textFill>
            <w14:solidFill>
              <w14:schemeClr w14:val="tx1"/>
            </w14:solidFill>
          </w14:textFill>
        </w:rPr>
        <w:t>（格式可自拟）</w:t>
      </w:r>
    </w:p>
    <w:p w14:paraId="460AFC63">
      <w:pPr>
        <w:spacing w:line="500" w:lineRule="exact"/>
        <w:ind w:firstLine="3780"/>
        <w:jc w:val="lef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投标人</w:t>
      </w:r>
      <w:r>
        <w:rPr>
          <w:rFonts w:ascii="宋体" w:hAnsi="宋体" w:cs="FangSong_GB2312-Identity-H"/>
          <w:color w:val="000000" w:themeColor="text1"/>
          <w:sz w:val="24"/>
          <w:highlight w:val="none"/>
          <w14:textFill>
            <w14:solidFill>
              <w14:schemeClr w14:val="tx1"/>
            </w14:solidFill>
          </w14:textFill>
        </w:rPr>
        <w:t>(</w:t>
      </w:r>
      <w:r>
        <w:rPr>
          <w:rFonts w:hint="eastAsia" w:ascii="宋体" w:hAnsi="宋体" w:cs="FangSong_GB2312-Identity-H"/>
          <w:color w:val="000000" w:themeColor="text1"/>
          <w:sz w:val="24"/>
          <w:highlight w:val="none"/>
          <w14:textFill>
            <w14:solidFill>
              <w14:schemeClr w14:val="tx1"/>
            </w14:solidFill>
          </w14:textFill>
        </w:rPr>
        <w:t>公章</w:t>
      </w:r>
      <w:r>
        <w:rPr>
          <w:rFonts w:ascii="宋体" w:hAnsi="宋体" w:cs="FangSong_GB2312-Identity-H"/>
          <w:color w:val="000000" w:themeColor="text1"/>
          <w:sz w:val="24"/>
          <w:highlight w:val="none"/>
          <w14:textFill>
            <w14:solidFill>
              <w14:schemeClr w14:val="tx1"/>
            </w14:solidFill>
          </w14:textFill>
        </w:rPr>
        <w:t xml:space="preserve">) </w:t>
      </w:r>
      <w:r>
        <w:rPr>
          <w:rFonts w:hint="eastAsia" w:ascii="宋体" w:hAnsi="宋体" w:cs="FangSong_GB2312-Identity-H"/>
          <w:color w:val="000000" w:themeColor="text1"/>
          <w:sz w:val="24"/>
          <w:highlight w:val="none"/>
          <w14:textFill>
            <w14:solidFill>
              <w14:schemeClr w14:val="tx1"/>
            </w14:solidFill>
          </w14:textFill>
        </w:rPr>
        <w:t>：</w:t>
      </w:r>
      <w:r>
        <w:rPr>
          <w:rFonts w:hint="eastAsia" w:ascii="宋体" w:hAnsi="宋体" w:cs="FangSong_GB2312-Identity-H"/>
          <w:color w:val="000000" w:themeColor="text1"/>
          <w:sz w:val="24"/>
          <w:highlight w:val="none"/>
          <w:u w:val="single"/>
          <w14:textFill>
            <w14:solidFill>
              <w14:schemeClr w14:val="tx1"/>
            </w14:solidFill>
          </w14:textFill>
        </w:rPr>
        <w:t xml:space="preserve">                          </w:t>
      </w:r>
    </w:p>
    <w:p w14:paraId="7D74725E">
      <w:pPr>
        <w:spacing w:line="500" w:lineRule="exact"/>
        <w:ind w:firstLine="3780"/>
        <w:jc w:val="left"/>
        <w:rPr>
          <w:rFonts w:ascii="宋体" w:hAnsi="宋体" w:cs="FangSong_GB2312-Identity-H"/>
          <w:color w:val="000000" w:themeColor="text1"/>
          <w:sz w:val="24"/>
          <w:highlight w:val="non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法定代表人（或者负责人）</w:t>
      </w:r>
    </w:p>
    <w:p w14:paraId="27A78800">
      <w:pPr>
        <w:spacing w:line="500" w:lineRule="exact"/>
        <w:ind w:firstLine="3780"/>
        <w:jc w:val="lef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或授权委托人（签字或盖章）：</w:t>
      </w:r>
      <w:r>
        <w:rPr>
          <w:rFonts w:hint="eastAsia" w:ascii="宋体" w:hAnsi="宋体" w:cs="FangSong_GB2312-Identity-H"/>
          <w:color w:val="000000" w:themeColor="text1"/>
          <w:sz w:val="24"/>
          <w:highlight w:val="none"/>
          <w:u w:val="single"/>
          <w14:textFill>
            <w14:solidFill>
              <w14:schemeClr w14:val="tx1"/>
            </w14:solidFill>
          </w14:textFill>
        </w:rPr>
        <w:t xml:space="preserve">             </w:t>
      </w:r>
    </w:p>
    <w:p w14:paraId="3D94BCAB">
      <w:pPr>
        <w:pStyle w:val="26"/>
        <w:spacing w:before="120" w:after="120" w:line="280" w:lineRule="exact"/>
        <w:ind w:firstLine="3780"/>
        <w:jc w:val="left"/>
        <w:rPr>
          <w:rFonts w:hAnsi="宋体" w:cs="Angsana New"/>
          <w:color w:val="000000" w:themeColor="text1"/>
          <w:highlight w:val="none"/>
          <w:u w:val="single"/>
          <w:lang w:bidi="th-TH"/>
          <w14:textFill>
            <w14:solidFill>
              <w14:schemeClr w14:val="tx1"/>
            </w14:solidFill>
          </w14:textFill>
        </w:rPr>
      </w:pPr>
      <w:r>
        <w:rPr>
          <w:rFonts w:hint="eastAsia" w:hAnsi="宋体" w:cs="FangSong_GB2312-Identity-H"/>
          <w:color w:val="000000" w:themeColor="text1"/>
          <w:sz w:val="24"/>
          <w:highlight w:val="none"/>
          <w14:textFill>
            <w14:solidFill>
              <w14:schemeClr w14:val="tx1"/>
            </w14:solidFill>
          </w14:textFill>
        </w:rPr>
        <w:t>日      期：</w:t>
      </w:r>
      <w:r>
        <w:rPr>
          <w:rFonts w:hAnsi="宋体" w:cs="FangSong_GB2312-Identity-H"/>
          <w:color w:val="000000" w:themeColor="text1"/>
          <w:sz w:val="24"/>
          <w:highlight w:val="none"/>
          <w14:textFill>
            <w14:solidFill>
              <w14:schemeClr w14:val="tx1"/>
            </w14:solidFill>
          </w14:textFill>
        </w:rPr>
        <w:t xml:space="preserve"> </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年</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月</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日</w:t>
      </w:r>
    </w:p>
    <w:p w14:paraId="3D77DD33">
      <w:pPr>
        <w:spacing w:line="480" w:lineRule="exact"/>
        <w:jc w:val="center"/>
        <w:rPr>
          <w:rFonts w:ascii="宋体" w:hAnsi="宋体" w:cs="Arial"/>
          <w:b/>
          <w:bCs/>
          <w:color w:val="000000" w:themeColor="text1"/>
          <w:sz w:val="36"/>
          <w:szCs w:val="36"/>
          <w:highlight w:val="none"/>
          <w14:textFill>
            <w14:solidFill>
              <w14:schemeClr w14:val="tx1"/>
            </w14:solidFill>
          </w14:textFill>
        </w:rPr>
      </w:pPr>
    </w:p>
    <w:p w14:paraId="04FEC41A">
      <w:pPr>
        <w:pStyle w:val="32"/>
        <w:rPr>
          <w:color w:val="000000" w:themeColor="text1"/>
          <w:highlight w:val="none"/>
          <w14:textFill>
            <w14:solidFill>
              <w14:schemeClr w14:val="tx1"/>
            </w14:solidFill>
          </w14:textFill>
        </w:rPr>
      </w:pPr>
    </w:p>
    <w:p w14:paraId="54D4FB2E">
      <w:pPr>
        <w:rPr>
          <w:color w:val="000000" w:themeColor="text1"/>
          <w:highlight w:val="none"/>
          <w14:textFill>
            <w14:solidFill>
              <w14:schemeClr w14:val="tx1"/>
            </w14:solidFill>
          </w14:textFill>
        </w:rPr>
      </w:pPr>
    </w:p>
    <w:p w14:paraId="312D14E2">
      <w:pPr>
        <w:pStyle w:val="32"/>
        <w:rPr>
          <w:color w:val="000000" w:themeColor="text1"/>
          <w:highlight w:val="none"/>
          <w14:textFill>
            <w14:solidFill>
              <w14:schemeClr w14:val="tx1"/>
            </w14:solidFill>
          </w14:textFill>
        </w:rPr>
      </w:pPr>
    </w:p>
    <w:p w14:paraId="606C27CA">
      <w:pPr>
        <w:rPr>
          <w:color w:val="000000" w:themeColor="text1"/>
          <w:highlight w:val="none"/>
          <w14:textFill>
            <w14:solidFill>
              <w14:schemeClr w14:val="tx1"/>
            </w14:solidFill>
          </w14:textFill>
        </w:rPr>
      </w:pPr>
    </w:p>
    <w:p w14:paraId="517153F5">
      <w:pPr>
        <w:pStyle w:val="32"/>
        <w:rPr>
          <w:color w:val="000000" w:themeColor="text1"/>
          <w:highlight w:val="none"/>
          <w14:textFill>
            <w14:solidFill>
              <w14:schemeClr w14:val="tx1"/>
            </w14:solidFill>
          </w14:textFill>
        </w:rPr>
      </w:pPr>
    </w:p>
    <w:p w14:paraId="1B2AA60D">
      <w:pPr>
        <w:pStyle w:val="32"/>
        <w:rPr>
          <w:color w:val="000000" w:themeColor="text1"/>
          <w:highlight w:val="none"/>
          <w14:textFill>
            <w14:solidFill>
              <w14:schemeClr w14:val="tx1"/>
            </w14:solidFill>
          </w14:textFill>
        </w:rPr>
      </w:pPr>
    </w:p>
    <w:p w14:paraId="380375F3">
      <w:pPr>
        <w:rPr>
          <w:color w:val="000000" w:themeColor="text1"/>
          <w:highlight w:val="none"/>
          <w14:textFill>
            <w14:solidFill>
              <w14:schemeClr w14:val="tx1"/>
            </w14:solidFill>
          </w14:textFill>
        </w:rPr>
      </w:pPr>
    </w:p>
    <w:p w14:paraId="75229EA3">
      <w:pPr>
        <w:pStyle w:val="32"/>
        <w:rPr>
          <w:color w:val="000000" w:themeColor="text1"/>
          <w:highlight w:val="none"/>
          <w14:textFill>
            <w14:solidFill>
              <w14:schemeClr w14:val="tx1"/>
            </w14:solidFill>
          </w14:textFill>
        </w:rPr>
      </w:pPr>
    </w:p>
    <w:p w14:paraId="2E9DDA69">
      <w:pPr>
        <w:pStyle w:val="46"/>
        <w:spacing w:beforeAutospacing="0" w:afterAutospacing="0"/>
        <w:jc w:val="center"/>
        <w:rPr>
          <w:rFonts w:cs="Arial"/>
          <w:b/>
          <w:bCs/>
          <w:color w:val="000000" w:themeColor="text1"/>
          <w:sz w:val="36"/>
          <w:szCs w:val="36"/>
          <w:highlight w:val="none"/>
          <w14:textFill>
            <w14:solidFill>
              <w14:schemeClr w14:val="tx1"/>
            </w14:solidFill>
          </w14:textFill>
        </w:rPr>
      </w:pPr>
    </w:p>
    <w:p w14:paraId="30183437">
      <w:pPr>
        <w:pStyle w:val="46"/>
        <w:spacing w:beforeAutospacing="0" w:afterAutospacing="0"/>
        <w:jc w:val="center"/>
        <w:rPr>
          <w:rFonts w:eastAsia="黑体" w:cs="Arial"/>
          <w:b/>
          <w:bCs/>
          <w:color w:val="000000" w:themeColor="text1"/>
          <w:sz w:val="36"/>
          <w:szCs w:val="36"/>
          <w:highlight w:val="none"/>
          <w14:textFill>
            <w14:solidFill>
              <w14:schemeClr w14:val="tx1"/>
            </w14:solidFill>
          </w14:textFill>
        </w:rPr>
      </w:pPr>
      <w:r>
        <w:rPr>
          <w:rFonts w:hint="eastAsia" w:eastAsia="黑体" w:cs="Arial"/>
          <w:b/>
          <w:bCs/>
          <w:color w:val="000000" w:themeColor="text1"/>
          <w:sz w:val="36"/>
          <w:szCs w:val="36"/>
          <w:highlight w:val="none"/>
          <w14:textFill>
            <w14:solidFill>
              <w14:schemeClr w14:val="tx1"/>
            </w14:solidFill>
          </w14:textFill>
        </w:rPr>
        <w:t>（十二）商务要求响应及偏离表</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355B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noWrap w:val="0"/>
            <w:vAlign w:val="center"/>
          </w:tcPr>
          <w:p w14:paraId="2F57230C">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2852" w:type="dxa"/>
            <w:noWrap w:val="0"/>
            <w:vAlign w:val="center"/>
          </w:tcPr>
          <w:p w14:paraId="0AF415A0">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招标要求</w:t>
            </w:r>
          </w:p>
        </w:tc>
        <w:tc>
          <w:tcPr>
            <w:tcW w:w="2852" w:type="dxa"/>
            <w:noWrap w:val="0"/>
            <w:vAlign w:val="center"/>
          </w:tcPr>
          <w:p w14:paraId="45207CDA">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w:t>
            </w:r>
          </w:p>
        </w:tc>
        <w:tc>
          <w:tcPr>
            <w:tcW w:w="1308" w:type="dxa"/>
            <w:noWrap w:val="0"/>
            <w:vAlign w:val="center"/>
          </w:tcPr>
          <w:p w14:paraId="2AB8A1D5">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超出、符合或偏离</w:t>
            </w:r>
          </w:p>
        </w:tc>
        <w:tc>
          <w:tcPr>
            <w:tcW w:w="1173" w:type="dxa"/>
            <w:noWrap w:val="0"/>
            <w:vAlign w:val="center"/>
          </w:tcPr>
          <w:p w14:paraId="383229A8">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原因</w:t>
            </w:r>
          </w:p>
        </w:tc>
      </w:tr>
      <w:tr w14:paraId="6DD31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4AFDD1BB">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05188859">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414D7C07">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66497E28">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0F3182CF">
            <w:pPr>
              <w:jc w:val="center"/>
              <w:rPr>
                <w:rFonts w:ascii="宋体" w:hAnsi="宋体"/>
                <w:color w:val="000000" w:themeColor="text1"/>
                <w:sz w:val="24"/>
                <w:szCs w:val="24"/>
                <w:highlight w:val="none"/>
                <w14:textFill>
                  <w14:solidFill>
                    <w14:schemeClr w14:val="tx1"/>
                  </w14:solidFill>
                </w14:textFill>
              </w:rPr>
            </w:pPr>
          </w:p>
        </w:tc>
      </w:tr>
      <w:tr w14:paraId="7545E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6D60044A">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0E6F0E0B">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0A475F61">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32D5F070">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5EDD36AE">
            <w:pPr>
              <w:jc w:val="center"/>
              <w:rPr>
                <w:rFonts w:ascii="宋体" w:hAnsi="宋体"/>
                <w:color w:val="000000" w:themeColor="text1"/>
                <w:sz w:val="24"/>
                <w:szCs w:val="24"/>
                <w:highlight w:val="none"/>
                <w14:textFill>
                  <w14:solidFill>
                    <w14:schemeClr w14:val="tx1"/>
                  </w14:solidFill>
                </w14:textFill>
              </w:rPr>
            </w:pPr>
          </w:p>
        </w:tc>
      </w:tr>
      <w:tr w14:paraId="29B24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49ACA348">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448165D2">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0145463E">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59954ADB">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757E1AD8">
            <w:pPr>
              <w:jc w:val="center"/>
              <w:rPr>
                <w:rFonts w:ascii="宋体" w:hAnsi="宋体"/>
                <w:color w:val="000000" w:themeColor="text1"/>
                <w:sz w:val="24"/>
                <w:szCs w:val="24"/>
                <w:highlight w:val="none"/>
                <w14:textFill>
                  <w14:solidFill>
                    <w14:schemeClr w14:val="tx1"/>
                  </w14:solidFill>
                </w14:textFill>
              </w:rPr>
            </w:pPr>
          </w:p>
        </w:tc>
      </w:tr>
      <w:tr w14:paraId="4C6D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20E61688">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519C005D">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151606F7">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17C41E1D">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0F152A19">
            <w:pPr>
              <w:jc w:val="center"/>
              <w:rPr>
                <w:rFonts w:ascii="宋体" w:hAnsi="宋体"/>
                <w:color w:val="000000" w:themeColor="text1"/>
                <w:sz w:val="24"/>
                <w:szCs w:val="24"/>
                <w:highlight w:val="none"/>
                <w14:textFill>
                  <w14:solidFill>
                    <w14:schemeClr w14:val="tx1"/>
                  </w14:solidFill>
                </w14:textFill>
              </w:rPr>
            </w:pPr>
          </w:p>
        </w:tc>
      </w:tr>
      <w:tr w14:paraId="6E14A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23580F4E">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3DD122D6">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4E025765">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7AE0908D">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6A5CC007">
            <w:pPr>
              <w:jc w:val="center"/>
              <w:rPr>
                <w:rFonts w:ascii="宋体" w:hAnsi="宋体"/>
                <w:color w:val="000000" w:themeColor="text1"/>
                <w:sz w:val="24"/>
                <w:szCs w:val="24"/>
                <w:highlight w:val="none"/>
                <w14:textFill>
                  <w14:solidFill>
                    <w14:schemeClr w14:val="tx1"/>
                  </w14:solidFill>
                </w14:textFill>
              </w:rPr>
            </w:pPr>
          </w:p>
        </w:tc>
      </w:tr>
      <w:tr w14:paraId="6D26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665D74D7">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41BDFE0E">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0D7E75BA">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762C6F92">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33F48084">
            <w:pPr>
              <w:jc w:val="center"/>
              <w:rPr>
                <w:rFonts w:ascii="宋体" w:hAnsi="宋体"/>
                <w:color w:val="000000" w:themeColor="text1"/>
                <w:sz w:val="24"/>
                <w:szCs w:val="24"/>
                <w:highlight w:val="none"/>
                <w14:textFill>
                  <w14:solidFill>
                    <w14:schemeClr w14:val="tx1"/>
                  </w14:solidFill>
                </w14:textFill>
              </w:rPr>
            </w:pPr>
          </w:p>
        </w:tc>
      </w:tr>
      <w:tr w14:paraId="7D0A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2944DCE">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1615BAD8">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0ED8BF82">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7187524B">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654236EC">
            <w:pPr>
              <w:jc w:val="center"/>
              <w:rPr>
                <w:rFonts w:ascii="宋体" w:hAnsi="宋体"/>
                <w:color w:val="000000" w:themeColor="text1"/>
                <w:sz w:val="24"/>
                <w:szCs w:val="24"/>
                <w:highlight w:val="none"/>
                <w14:textFill>
                  <w14:solidFill>
                    <w14:schemeClr w14:val="tx1"/>
                  </w14:solidFill>
                </w14:textFill>
              </w:rPr>
            </w:pPr>
          </w:p>
        </w:tc>
      </w:tr>
      <w:tr w14:paraId="3395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6184CBF3">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09824392">
            <w:pPr>
              <w:jc w:val="center"/>
              <w:rPr>
                <w:rFonts w:ascii="宋体" w:hAnsi="宋体"/>
                <w:color w:val="000000" w:themeColor="text1"/>
                <w:sz w:val="24"/>
                <w:szCs w:val="24"/>
                <w:highlight w:val="none"/>
                <w14:textFill>
                  <w14:solidFill>
                    <w14:schemeClr w14:val="tx1"/>
                  </w14:solidFill>
                </w14:textFill>
              </w:rPr>
            </w:pPr>
          </w:p>
        </w:tc>
        <w:tc>
          <w:tcPr>
            <w:tcW w:w="2852" w:type="dxa"/>
            <w:noWrap w:val="0"/>
          </w:tcPr>
          <w:p w14:paraId="3631E140">
            <w:pPr>
              <w:jc w:val="center"/>
              <w:rPr>
                <w:rFonts w:ascii="宋体" w:hAnsi="宋体"/>
                <w:color w:val="000000" w:themeColor="text1"/>
                <w:sz w:val="24"/>
                <w:szCs w:val="24"/>
                <w:highlight w:val="none"/>
                <w14:textFill>
                  <w14:solidFill>
                    <w14:schemeClr w14:val="tx1"/>
                  </w14:solidFill>
                </w14:textFill>
              </w:rPr>
            </w:pPr>
          </w:p>
        </w:tc>
        <w:tc>
          <w:tcPr>
            <w:tcW w:w="1308" w:type="dxa"/>
            <w:noWrap w:val="0"/>
          </w:tcPr>
          <w:p w14:paraId="46AAC76D">
            <w:pPr>
              <w:jc w:val="center"/>
              <w:rPr>
                <w:rFonts w:ascii="宋体" w:hAnsi="宋体"/>
                <w:color w:val="000000" w:themeColor="text1"/>
                <w:sz w:val="24"/>
                <w:szCs w:val="24"/>
                <w:highlight w:val="none"/>
                <w14:textFill>
                  <w14:solidFill>
                    <w14:schemeClr w14:val="tx1"/>
                  </w14:solidFill>
                </w14:textFill>
              </w:rPr>
            </w:pPr>
          </w:p>
        </w:tc>
        <w:tc>
          <w:tcPr>
            <w:tcW w:w="1173" w:type="dxa"/>
            <w:noWrap w:val="0"/>
          </w:tcPr>
          <w:p w14:paraId="72313316">
            <w:pPr>
              <w:jc w:val="center"/>
              <w:rPr>
                <w:rFonts w:ascii="宋体" w:hAnsi="宋体"/>
                <w:color w:val="000000" w:themeColor="text1"/>
                <w:sz w:val="24"/>
                <w:szCs w:val="24"/>
                <w:highlight w:val="none"/>
                <w14:textFill>
                  <w14:solidFill>
                    <w14:schemeClr w14:val="tx1"/>
                  </w14:solidFill>
                </w14:textFill>
              </w:rPr>
            </w:pPr>
          </w:p>
        </w:tc>
      </w:tr>
    </w:tbl>
    <w:p w14:paraId="60DE3D9B">
      <w:pPr>
        <w:rPr>
          <w:rFonts w:ascii="宋体" w:hAnsi="宋体"/>
          <w:color w:val="000000" w:themeColor="text1"/>
          <w:sz w:val="24"/>
          <w:szCs w:val="24"/>
          <w:highlight w:val="none"/>
          <w14:textFill>
            <w14:solidFill>
              <w14:schemeClr w14:val="tx1"/>
            </w14:solidFill>
          </w14:textFill>
        </w:rPr>
      </w:pPr>
    </w:p>
    <w:p w14:paraId="5AAF3D75">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注：1、按照基本技术要求详细填列。</w:t>
      </w:r>
    </w:p>
    <w:p w14:paraId="1D5C0162">
      <w:pPr>
        <w:numPr>
          <w:ilvl w:val="0"/>
          <w:numId w:val="6"/>
        </w:num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行数不够，可自行添加。</w:t>
      </w:r>
    </w:p>
    <w:p w14:paraId="4BCBB50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3、技术偏离表应针对项目需求逐条应答。</w:t>
      </w:r>
    </w:p>
    <w:p w14:paraId="40230315">
      <w:pPr>
        <w:widowControl/>
        <w:spacing w:line="500" w:lineRule="exact"/>
        <w:ind w:firstLine="120"/>
        <w:jc w:val="left"/>
        <w:rPr>
          <w:color w:val="000000" w:themeColor="text1"/>
          <w:sz w:val="24"/>
          <w:highlight w:val="none"/>
          <w14:textFill>
            <w14:solidFill>
              <w14:schemeClr w14:val="tx1"/>
            </w14:solidFill>
          </w14:textFill>
        </w:rPr>
      </w:pPr>
    </w:p>
    <w:p w14:paraId="2195436B">
      <w:pPr>
        <w:pStyle w:val="256"/>
        <w:ind w:firstLine="0"/>
        <w:rPr>
          <w:color w:val="000000" w:themeColor="text1"/>
          <w:highlight w:val="none"/>
          <w14:textFill>
            <w14:solidFill>
              <w14:schemeClr w14:val="tx1"/>
            </w14:solidFill>
          </w14:textFill>
        </w:rPr>
      </w:pPr>
    </w:p>
    <w:p w14:paraId="38BC81B5">
      <w:pPr>
        <w:widowControl/>
        <w:spacing w:line="460" w:lineRule="exact"/>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法定代表人或委托代理人</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（盖章或签字）</w:t>
      </w:r>
    </w:p>
    <w:p w14:paraId="65449C2F">
      <w:pPr>
        <w:spacing w:before="100" w:beforeAutospacing="1" w:after="100" w:afterAutospacing="1" w:line="460" w:lineRule="exac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投标单位：  </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（全称并加盖公章）</w:t>
      </w:r>
    </w:p>
    <w:p w14:paraId="401C7A9E">
      <w:pPr>
        <w:spacing w:before="100" w:beforeAutospacing="1" w:after="100" w:afterAutospacing="1" w:line="460" w:lineRule="exact"/>
        <w:ind w:firstLine="480"/>
        <w:jc w:val="right"/>
        <w:rPr>
          <w:color w:val="000000" w:themeColor="text1"/>
          <w:sz w:val="24"/>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r>
        <w:rPr>
          <w:rFonts w:hint="eastAsia"/>
          <w:color w:val="000000" w:themeColor="text1"/>
          <w:sz w:val="24"/>
          <w:highlight w:val="none"/>
          <w14:textFill>
            <w14:solidFill>
              <w14:schemeClr w14:val="tx1"/>
            </w14:solidFill>
          </w14:textFill>
        </w:rPr>
        <w:t>年    月    日</w:t>
      </w:r>
    </w:p>
    <w:p w14:paraId="63A52A56">
      <w:pPr>
        <w:pStyle w:val="46"/>
        <w:spacing w:beforeAutospacing="0" w:afterAutospacing="0"/>
        <w:jc w:val="center"/>
        <w:rPr>
          <w:rFonts w:ascii="黑体" w:eastAsia="黑体" w:cs="黑体"/>
          <w:b/>
          <w:color w:val="000000" w:themeColor="text1"/>
          <w:sz w:val="32"/>
          <w:szCs w:val="32"/>
          <w:highlight w:val="none"/>
          <w14:textFill>
            <w14:solidFill>
              <w14:schemeClr w14:val="tx1"/>
            </w14:solidFill>
          </w14:textFill>
        </w:rPr>
      </w:pPr>
      <w:r>
        <w:rPr>
          <w:rFonts w:hint="eastAsia" w:ascii="黑体" w:eastAsia="黑体" w:cs="黑体"/>
          <w:b/>
          <w:color w:val="000000" w:themeColor="text1"/>
          <w:sz w:val="32"/>
          <w:szCs w:val="32"/>
          <w:highlight w:val="none"/>
          <w14:textFill>
            <w14:solidFill>
              <w14:schemeClr w14:val="tx1"/>
            </w14:solidFill>
          </w14:textFill>
        </w:rPr>
        <w:t>（十三）开标一览表</w:t>
      </w:r>
    </w:p>
    <w:p w14:paraId="736A493B">
      <w:pPr>
        <w:spacing w:line="480" w:lineRule="exact"/>
        <w:jc w:val="left"/>
        <w:rPr>
          <w:rFonts w:ascii="宋体" w:hAnsi="宋体" w:cs="Segoe UI"/>
          <w:color w:val="000000" w:themeColor="text1"/>
          <w:sz w:val="27"/>
          <w:szCs w:val="27"/>
          <w:highlight w:val="none"/>
          <w14:textFill>
            <w14:solidFill>
              <w14:schemeClr w14:val="tx1"/>
            </w14:solidFill>
          </w14:textFill>
        </w:rPr>
      </w:pPr>
    </w:p>
    <w:p w14:paraId="774BCFB7">
      <w:pPr>
        <w:widowControl/>
        <w:spacing w:before="100" w:after="100"/>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投标人全称（加盖CA电子签章）：</w:t>
      </w:r>
    </w:p>
    <w:p w14:paraId="45349374">
      <w:pPr>
        <w:widowControl/>
        <w:spacing w:before="100" w:after="100"/>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p>
    <w:p w14:paraId="1F836386">
      <w:pPr>
        <w:widowControl/>
        <w:spacing w:before="100" w:after="100"/>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招标编号：                  分包号：</w:t>
      </w:r>
    </w:p>
    <w:tbl>
      <w:tblPr>
        <w:tblStyle w:val="52"/>
        <w:tblW w:w="8220" w:type="dxa"/>
        <w:tblCellSpacing w:w="0" w:type="dxa"/>
        <w:tblInd w:w="128" w:type="dxa"/>
        <w:tblLayout w:type="fixed"/>
        <w:tblCellMar>
          <w:top w:w="0" w:type="dxa"/>
          <w:left w:w="108" w:type="dxa"/>
          <w:bottom w:w="0" w:type="dxa"/>
          <w:right w:w="108" w:type="dxa"/>
        </w:tblCellMar>
      </w:tblPr>
      <w:tblGrid>
        <w:gridCol w:w="8220"/>
      </w:tblGrid>
      <w:tr w14:paraId="1B20AB42">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noWrap w:val="0"/>
            <w:vAlign w:val="center"/>
          </w:tcPr>
          <w:p w14:paraId="6E7DF7FA">
            <w:pPr>
              <w:widowControl/>
              <w:spacing w:before="100" w:after="10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投标报价</w:t>
            </w:r>
          </w:p>
        </w:tc>
      </w:tr>
      <w:tr w14:paraId="1231BEDE">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noWrap w:val="0"/>
            <w:vAlign w:val="center"/>
          </w:tcPr>
          <w:p w14:paraId="43E582F1">
            <w:pPr>
              <w:widowControl/>
              <w:spacing w:before="100" w:after="100" w:line="0" w:lineRule="atLeast"/>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小写：               大写：</w:t>
            </w:r>
          </w:p>
        </w:tc>
      </w:tr>
    </w:tbl>
    <w:p w14:paraId="08774D91">
      <w:pPr>
        <w:widowControl/>
        <w:spacing w:before="100" w:after="1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w:t>
      </w:r>
    </w:p>
    <w:p w14:paraId="5E54482F">
      <w:pPr>
        <w:widowControl/>
        <w:spacing w:before="100" w:after="100"/>
        <w:ind w:firstLine="48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日</w:t>
      </w:r>
    </w:p>
    <w:p w14:paraId="0A5877D4">
      <w:pPr>
        <w:widowControl/>
        <w:spacing w:before="100" w:beforeAutospacing="1" w:after="100" w:afterAutospacing="1"/>
        <w:jc w:val="left"/>
        <w:rPr>
          <w:rFonts w:ascii="宋体" w:hAnsi="宋体" w:cs="Segoe UI"/>
          <w:color w:val="000000" w:themeColor="text1"/>
          <w:sz w:val="24"/>
          <w:szCs w:val="24"/>
          <w:highlight w:val="none"/>
          <w14:textFill>
            <w14:solidFill>
              <w14:schemeClr w14:val="tx1"/>
            </w14:solidFill>
          </w14:textFill>
        </w:rPr>
      </w:pPr>
    </w:p>
    <w:p w14:paraId="0C1FCF2E">
      <w:pPr>
        <w:widowControl/>
        <w:spacing w:before="100" w:beforeAutospacing="1" w:after="100" w:afterAutospacing="1"/>
        <w:jc w:val="left"/>
        <w:rPr>
          <w:rFonts w:ascii="宋体" w:hAnsi="宋体" w:cs="Segoe UI"/>
          <w:color w:val="000000" w:themeColor="text1"/>
          <w:sz w:val="24"/>
          <w:szCs w:val="24"/>
          <w:highlight w:val="none"/>
          <w14:textFill>
            <w14:solidFill>
              <w14:schemeClr w14:val="tx1"/>
            </w14:solidFill>
          </w14:textFill>
        </w:rPr>
      </w:pPr>
      <w:r>
        <w:rPr>
          <w:rFonts w:hint="eastAsia" w:ascii="宋体" w:hAnsi="宋体" w:cs="Segoe UI"/>
          <w:color w:val="000000" w:themeColor="text1"/>
          <w:sz w:val="24"/>
          <w:szCs w:val="24"/>
          <w:highlight w:val="none"/>
          <w14:textFill>
            <w14:solidFill>
              <w14:schemeClr w14:val="tx1"/>
            </w14:solidFill>
          </w14:textFill>
        </w:rPr>
        <w:t>注：当招标文件格式与系统不一致时，以系统格式为准。</w:t>
      </w:r>
    </w:p>
    <w:p w14:paraId="78A2FAF0">
      <w:pPr>
        <w:spacing w:before="50" w:after="50"/>
        <w:jc w:val="center"/>
        <w:rPr>
          <w:rFonts w:ascii="黑体" w:hAnsi="黑体" w:eastAsia="黑体" w:cs="黑体"/>
          <w:b/>
          <w:color w:val="000000" w:themeColor="text1"/>
          <w:sz w:val="36"/>
          <w:szCs w:val="36"/>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4083AB70">
      <w:pPr>
        <w:spacing w:before="50" w:after="50"/>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（十四）技术方案、服务承诺、培训承诺等</w:t>
      </w:r>
    </w:p>
    <w:p w14:paraId="62805276">
      <w:pPr>
        <w:pStyle w:val="46"/>
        <w:spacing w:beforeAutospacing="0" w:afterAutospacing="0"/>
        <w:jc w:val="center"/>
        <w:rPr>
          <w:rFonts w:ascii="黑体" w:eastAsia="黑体" w:cs="黑体"/>
          <w:b/>
          <w:color w:val="000000" w:themeColor="text1"/>
          <w:sz w:val="32"/>
          <w:szCs w:val="32"/>
          <w:highlight w:val="none"/>
          <w14:textFill>
            <w14:solidFill>
              <w14:schemeClr w14:val="tx1"/>
            </w14:solidFill>
          </w14:textFill>
        </w:rPr>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pPr>
    </w:p>
    <w:p w14:paraId="4ECC8584">
      <w:pPr>
        <w:spacing w:before="50" w:after="50"/>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（十五）盐城市政府采购事前信用承诺书</w:t>
      </w:r>
    </w:p>
    <w:p w14:paraId="08C1A8B8">
      <w:pPr>
        <w:widowControl/>
        <w:spacing w:line="50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为营造我市公开、公平、公正、诚实守信的政府采购交易环境，树立诚信守法的投标人形象，本人代表本单位作出以下承诺：</w:t>
      </w:r>
    </w:p>
    <w:p w14:paraId="1BC04A1A">
      <w:pPr>
        <w:widowControl/>
        <w:spacing w:line="50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FD22577">
      <w:pPr>
        <w:widowControl/>
        <w:spacing w:line="50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4F4A7DA">
      <w:pPr>
        <w:widowControl/>
        <w:spacing w:line="50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p>
    <w:p w14:paraId="5D2ED3B0">
      <w:pPr>
        <w:widowControl/>
        <w:spacing w:line="50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（四）严格遵守即时信息公示规定，及时维护和更新维护和更新盐城市政府采购网中与本单位相关的信息；</w:t>
      </w:r>
    </w:p>
    <w:p w14:paraId="264EDF70">
      <w:pPr>
        <w:widowControl/>
        <w:spacing w:line="50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3B951E2D">
      <w:pPr>
        <w:widowControl/>
        <w:spacing w:line="50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（六）自觉接受政府、行业组织、社会公众、新闻舆论的监督；</w:t>
      </w:r>
    </w:p>
    <w:p w14:paraId="5A439BBA">
      <w:pPr>
        <w:widowControl/>
        <w:spacing w:line="50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07CF382">
      <w:pPr>
        <w:widowControl/>
        <w:spacing w:line="50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（八）本人已认真阅读了上述承诺，并向本单位员工作了宣传教育。</w:t>
      </w:r>
    </w:p>
    <w:p w14:paraId="4B0AF72A">
      <w:pPr>
        <w:widowControl/>
        <w:spacing w:line="500" w:lineRule="exact"/>
        <w:jc w:val="left"/>
        <w:rPr>
          <w:rFonts w:ascii="宋体" w:hAnsi="宋体"/>
          <w:color w:val="000000" w:themeColor="text1"/>
          <w:sz w:val="24"/>
          <w:szCs w:val="24"/>
          <w:highlight w:val="none"/>
          <w14:textFill>
            <w14:solidFill>
              <w14:schemeClr w14:val="tx1"/>
            </w14:solidFill>
          </w14:textFill>
        </w:rPr>
      </w:pPr>
    </w:p>
    <w:p w14:paraId="45767589">
      <w:pPr>
        <w:widowControl/>
        <w:spacing w:line="5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法定代表人签</w:t>
      </w:r>
      <w:r>
        <w:rPr>
          <w:rFonts w:hint="eastAsia" w:ascii="宋体" w:hAnsi="宋体"/>
          <w:color w:val="000000" w:themeColor="text1"/>
          <w:sz w:val="24"/>
          <w:szCs w:val="24"/>
          <w:highlight w:val="none"/>
          <w:lang w:val="en-US" w:eastAsia="zh-CN"/>
          <w14:textFill>
            <w14:solidFill>
              <w14:schemeClr w14:val="tx1"/>
            </w14:solidFill>
          </w14:textFill>
        </w:rPr>
        <w:t>字或盖章</w:t>
      </w:r>
      <w:r>
        <w:rPr>
          <w:rFonts w:hint="eastAsia" w:ascii="宋体" w:hAnsi="宋体"/>
          <w:color w:val="000000" w:themeColor="text1"/>
          <w:sz w:val="24"/>
          <w:szCs w:val="24"/>
          <w:highlight w:val="none"/>
          <w14:textFill>
            <w14:solidFill>
              <w14:schemeClr w14:val="tx1"/>
            </w14:solidFill>
          </w14:textFill>
        </w:rPr>
        <w:t>：</w:t>
      </w:r>
    </w:p>
    <w:p w14:paraId="2B92F57D">
      <w:pPr>
        <w:widowControl/>
        <w:spacing w:line="5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p>
    <w:p w14:paraId="27FCC2C9">
      <w:pPr>
        <w:widowControl/>
        <w:spacing w:line="500" w:lineRule="exact"/>
        <w:jc w:val="center"/>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年    月    日</w:t>
      </w:r>
    </w:p>
    <w:p w14:paraId="286F968F">
      <w:pPr>
        <w:rPr>
          <w:color w:val="000000" w:themeColor="text1"/>
          <w:highlight w:val="none"/>
          <w14:textFill>
            <w14:solidFill>
              <w14:schemeClr w14:val="tx1"/>
            </w14:solidFill>
          </w14:textFill>
        </w:rPr>
      </w:pPr>
    </w:p>
    <w:sectPr>
      <w:pgSz w:w="11906" w:h="16838" w:orient="landscape"/>
      <w:pgMar w:top="1440" w:right="1587" w:bottom="1440" w:left="1587" w:header="851" w:footer="907"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auto"/>
    <w:pitch w:val="default"/>
    <w:sig w:usb0="A00002BF" w:usb1="38CF7CFA" w:usb2="00082016" w:usb3="00000000" w:csb0="00040001" w:csb1="00000000"/>
  </w:font>
  <w:font w:name="Bookshelf Symbol 7">
    <w:panose1 w:val="05010101010101010101"/>
    <w:charset w:val="00"/>
    <w:family w:val="auto"/>
    <w:pitch w:val="default"/>
    <w:sig w:usb0="00000000" w:usb1="00000000" w:usb2="00000000" w:usb3="00000000" w:csb0="80000000" w:csb1="0000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Angsana New">
    <w:altName w:val="Times New Roman"/>
    <w:panose1 w:val="02020603050405020304"/>
    <w:charset w:val="00"/>
    <w:family w:val="auto"/>
    <w:pitch w:val="default"/>
    <w:sig w:usb0="00000000" w:usb1="00000000" w:usb2="00000000" w:usb3="00000000" w:csb0="00010001" w:csb1="00000000"/>
  </w:font>
  <w:font w:name="FangSong_GB2312-Identity-H">
    <w:altName w:val="Segoe Print"/>
    <w:panose1 w:val="0201060906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9AD86">
    <w:pPr>
      <w:pStyle w:val="32"/>
      <w:jc w:val="center"/>
      <w:rPr>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22EC8">
                          <w:pPr>
                            <w:pStyle w:val="32"/>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fill on="f" focussize="0,0"/>
              <v:stroke on="f" weight="0.5pt"/>
              <v:imagedata o:title=""/>
              <o:lock v:ext="edit" aspectratio="f"/>
              <v:textbox inset="0mm,0mm,0mm,0mm" style="mso-fit-shape-to-text:t;">
                <w:txbxContent>
                  <w:p w14:paraId="6FF22EC8">
                    <w:pPr>
                      <w:pStyle w:val="32"/>
                    </w:pPr>
                    <w:r>
                      <w:fldChar w:fldCharType="begin"/>
                    </w:r>
                    <w:r>
                      <w:instrText xml:space="preserve"> PAGE  \* MERGEFORMAT </w:instrText>
                    </w:r>
                    <w:r>
                      <w:fldChar w:fldCharType="separate"/>
                    </w:r>
                    <w:r>
                      <w:t>29</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14500">
    <w:pPr>
      <w:pStyle w:val="32"/>
      <w:framePr w:wrap="around" w:vAnchor="text" w:hAnchor="margin" w:xAlign="center" w:y="1"/>
      <w:rPr>
        <w:rStyle w:val="57"/>
      </w:rPr>
    </w:pPr>
    <w:r>
      <w:fldChar w:fldCharType="begin"/>
    </w:r>
    <w:r>
      <w:rPr>
        <w:rStyle w:val="57"/>
      </w:rPr>
      <w:instrText xml:space="preserve">PAGE  </w:instrText>
    </w:r>
    <w:r>
      <w:fldChar w:fldCharType="separate"/>
    </w:r>
    <w:r>
      <w:rPr>
        <w:rStyle w:val="57"/>
      </w:rPr>
      <w:t>1</w:t>
    </w:r>
    <w:r>
      <w:fldChar w:fldCharType="end"/>
    </w:r>
  </w:p>
  <w:p w14:paraId="3F1A607A">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B0BD2">
    <w:pPr>
      <w:pStyle w:val="32"/>
      <w:jc w:val="center"/>
      <w:rPr>
        <w:b/>
        <w:i/>
      </w:rPr>
    </w:pP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664D4">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4DAA6">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D06C6CF">
                          <w:pPr>
                            <w:pStyle w:val="32"/>
                          </w:pPr>
                          <w:r>
                            <w:t xml:space="preserve">— </w:t>
                          </w:r>
                          <w:r>
                            <w:fldChar w:fldCharType="begin"/>
                          </w:r>
                          <w:r>
                            <w:instrText xml:space="preserve"> PAGE  \* MERGEFORMAT </w:instrText>
                          </w:r>
                          <w:r>
                            <w:fldChar w:fldCharType="separate"/>
                          </w:r>
                          <w:r>
                            <w:t>51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4D06C6CF">
                    <w:pPr>
                      <w:pStyle w:val="32"/>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15ACC">
    <w:pPr>
      <w:pStyle w:val="33"/>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09B98D"/>
    <w:multiLevelType w:val="singleLevel"/>
    <w:tmpl w:val="9709B98D"/>
    <w:lvl w:ilvl="0" w:tentative="0">
      <w:start w:val="1"/>
      <w:numFmt w:val="decimal"/>
      <w:suff w:val="nothing"/>
      <w:lvlText w:val="%1，"/>
      <w:lvlJc w:val="left"/>
    </w:lvl>
  </w:abstractNum>
  <w:abstractNum w:abstractNumId="1">
    <w:nsid w:val="BF205925"/>
    <w:multiLevelType w:val="multilevel"/>
    <w:tmpl w:val="BF205925"/>
    <w:lvl w:ilvl="0" w:tentative="0">
      <w:start w:val="1"/>
      <w:numFmt w:val="decimal"/>
      <w:pStyle w:val="270"/>
      <w:suff w:val="space"/>
      <w:lvlText w:val="%1."/>
      <w:lvlJc w:val="left"/>
      <w:pPr>
        <w:tabs>
          <w:tab w:val="left" w:pos="709"/>
        </w:tabs>
        <w:ind w:left="709" w:hanging="709"/>
      </w:pPr>
      <w:rPr>
        <w:rFonts w:hint="eastAsia"/>
      </w:rPr>
    </w:lvl>
    <w:lvl w:ilvl="1" w:tentative="0">
      <w:start w:val="1"/>
      <w:numFmt w:val="decimal"/>
      <w:suff w:val="space"/>
      <w:lvlText w:val="%1.%2"/>
      <w:lvlJc w:val="left"/>
      <w:pPr>
        <w:tabs>
          <w:tab w:val="left" w:pos="709"/>
        </w:tabs>
        <w:ind w:left="709" w:hanging="709"/>
      </w:pPr>
      <w:rPr>
        <w:rFonts w:hint="eastAsia"/>
      </w:rPr>
    </w:lvl>
    <w:lvl w:ilvl="2" w:tentative="0">
      <w:start w:val="1"/>
      <w:numFmt w:val="decimal"/>
      <w:suff w:val="space"/>
      <w:lvlText w:val="%1.%2.%3."/>
      <w:lvlJc w:val="left"/>
      <w:pPr>
        <w:tabs>
          <w:tab w:val="left" w:pos="425"/>
        </w:tabs>
        <w:ind w:left="425" w:hanging="425"/>
      </w:pPr>
      <w:rPr>
        <w:rFonts w:hint="eastAsia"/>
      </w:rPr>
    </w:lvl>
    <w:lvl w:ilvl="3" w:tentative="0">
      <w:start w:val="1"/>
      <w:numFmt w:val="decimal"/>
      <w:suff w:val="space"/>
      <w:lvlText w:val="%1.%2.%3.%4."/>
      <w:lvlJc w:val="left"/>
      <w:pPr>
        <w:tabs>
          <w:tab w:val="left" w:pos="851"/>
        </w:tabs>
        <w:ind w:left="851" w:hanging="851"/>
      </w:pPr>
      <w:rPr>
        <w:rFonts w:hint="eastAsia"/>
      </w:rPr>
    </w:lvl>
    <w:lvl w:ilvl="4" w:tentative="0">
      <w:start w:val="1"/>
      <w:numFmt w:val="decimal"/>
      <w:suff w:val="space"/>
      <w:lvlText w:val="%1.%2.%3.%4.%5."/>
      <w:lvlJc w:val="left"/>
      <w:pPr>
        <w:tabs>
          <w:tab w:val="left" w:pos="992"/>
        </w:tabs>
        <w:ind w:left="992" w:hanging="992"/>
      </w:pPr>
      <w:rPr>
        <w:rFonts w:hint="eastAsia"/>
      </w:rPr>
    </w:lvl>
    <w:lvl w:ilvl="5" w:tentative="0">
      <w:start w:val="1"/>
      <w:numFmt w:val="decimal"/>
      <w:suff w:val="space"/>
      <w:lvlText w:val="%1.%2.%3.%4.%5.%6."/>
      <w:lvlJc w:val="left"/>
      <w:pPr>
        <w:tabs>
          <w:tab w:val="left" w:pos="1134"/>
        </w:tabs>
        <w:ind w:left="1134" w:hanging="1134"/>
      </w:pPr>
      <w:rPr>
        <w:rFonts w:hint="eastAsia"/>
      </w:rPr>
    </w:lvl>
    <w:lvl w:ilvl="6" w:tentative="0">
      <w:start w:val="1"/>
      <w:numFmt w:val="decimal"/>
      <w:suff w:val="space"/>
      <w:lvlText w:val="%1.%2.%3.%4.%5.%6.%7."/>
      <w:lvlJc w:val="left"/>
      <w:pPr>
        <w:tabs>
          <w:tab w:val="left" w:pos="1276"/>
        </w:tabs>
        <w:ind w:left="1276" w:hanging="1276"/>
      </w:pPr>
      <w:rPr>
        <w:rFonts w:hint="eastAsia"/>
      </w:rPr>
    </w:lvl>
    <w:lvl w:ilvl="7" w:tentative="0">
      <w:start w:val="1"/>
      <w:numFmt w:val="decimal"/>
      <w:suff w:val="space"/>
      <w:lvlText w:val="%1.%2.%3.%4.%5.%6.%7.%8."/>
      <w:lvlJc w:val="left"/>
      <w:pPr>
        <w:tabs>
          <w:tab w:val="left" w:pos="1418"/>
        </w:tabs>
        <w:ind w:left="1418" w:hanging="1418"/>
      </w:pPr>
      <w:rPr>
        <w:rFonts w:hint="eastAsia"/>
      </w:rPr>
    </w:lvl>
    <w:lvl w:ilvl="8" w:tentative="0">
      <w:start w:val="1"/>
      <w:numFmt w:val="decimal"/>
      <w:suff w:val="space"/>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bullet"/>
      <w:pStyle w:val="265"/>
      <w:suff w:val="space"/>
      <w:lvlText w:val=""/>
      <w:lvlJc w:val="left"/>
      <w:pPr>
        <w:tabs>
          <w:tab w:val="left" w:pos="717"/>
        </w:tabs>
        <w:ind w:left="602" w:hanging="245"/>
      </w:pPr>
      <w:rPr>
        <w:rFonts w:hint="default" w:ascii="Wingdings" w:hAnsi="Wingdings"/>
      </w:rPr>
    </w:lvl>
    <w:lvl w:ilvl="1" w:tentative="0">
      <w:start w:val="1"/>
      <w:numFmt w:val="bullet"/>
      <w:suff w:val="space"/>
      <w:lvlText w:val=""/>
      <w:lvlJc w:val="left"/>
      <w:pPr>
        <w:tabs>
          <w:tab w:val="left" w:pos="1197"/>
        </w:tabs>
        <w:ind w:left="1197" w:hanging="420"/>
      </w:pPr>
      <w:rPr>
        <w:rFonts w:hint="default" w:ascii="Bookshelf Symbol 7" w:hAnsi="Bookshelf Symbol 7"/>
      </w:rPr>
    </w:lvl>
    <w:lvl w:ilvl="2" w:tentative="0">
      <w:start w:val="1"/>
      <w:numFmt w:val="bullet"/>
      <w:suff w:val="space"/>
      <w:lvlText w:val=""/>
      <w:lvlJc w:val="left"/>
      <w:pPr>
        <w:tabs>
          <w:tab w:val="left" w:pos="1617"/>
        </w:tabs>
        <w:ind w:left="1617" w:hanging="420"/>
      </w:pPr>
      <w:rPr>
        <w:rFonts w:hint="default" w:ascii="Bookshelf Symbol 7" w:hAnsi="Bookshelf Symbol 7"/>
      </w:rPr>
    </w:lvl>
    <w:lvl w:ilvl="3" w:tentative="0">
      <w:start w:val="1"/>
      <w:numFmt w:val="bullet"/>
      <w:suff w:val="space"/>
      <w:lvlText w:val=""/>
      <w:lvlJc w:val="left"/>
      <w:pPr>
        <w:tabs>
          <w:tab w:val="left" w:pos="2037"/>
        </w:tabs>
        <w:ind w:left="2037" w:hanging="420"/>
      </w:pPr>
      <w:rPr>
        <w:rFonts w:hint="default" w:ascii="Bookshelf Symbol 7" w:hAnsi="Bookshelf Symbol 7"/>
      </w:rPr>
    </w:lvl>
    <w:lvl w:ilvl="4" w:tentative="0">
      <w:start w:val="1"/>
      <w:numFmt w:val="bullet"/>
      <w:suff w:val="space"/>
      <w:lvlText w:val=""/>
      <w:lvlJc w:val="left"/>
      <w:pPr>
        <w:tabs>
          <w:tab w:val="left" w:pos="2457"/>
        </w:tabs>
        <w:ind w:left="2457" w:hanging="420"/>
      </w:pPr>
      <w:rPr>
        <w:rFonts w:hint="default" w:ascii="Bookshelf Symbol 7" w:hAnsi="Bookshelf Symbol 7"/>
      </w:rPr>
    </w:lvl>
    <w:lvl w:ilvl="5" w:tentative="0">
      <w:start w:val="1"/>
      <w:numFmt w:val="bullet"/>
      <w:suff w:val="space"/>
      <w:lvlText w:val=""/>
      <w:lvlJc w:val="left"/>
      <w:pPr>
        <w:tabs>
          <w:tab w:val="left" w:pos="2877"/>
        </w:tabs>
        <w:ind w:left="2877" w:hanging="420"/>
      </w:pPr>
      <w:rPr>
        <w:rFonts w:hint="default" w:ascii="Bookshelf Symbol 7" w:hAnsi="Bookshelf Symbol 7"/>
      </w:rPr>
    </w:lvl>
    <w:lvl w:ilvl="6" w:tentative="0">
      <w:start w:val="1"/>
      <w:numFmt w:val="bullet"/>
      <w:suff w:val="space"/>
      <w:lvlText w:val=""/>
      <w:lvlJc w:val="left"/>
      <w:pPr>
        <w:tabs>
          <w:tab w:val="left" w:pos="3297"/>
        </w:tabs>
        <w:ind w:left="3297" w:hanging="420"/>
      </w:pPr>
      <w:rPr>
        <w:rFonts w:hint="default" w:ascii="Bookshelf Symbol 7" w:hAnsi="Bookshelf Symbol 7"/>
      </w:rPr>
    </w:lvl>
    <w:lvl w:ilvl="7" w:tentative="0">
      <w:start w:val="1"/>
      <w:numFmt w:val="bullet"/>
      <w:suff w:val="space"/>
      <w:lvlText w:val=""/>
      <w:lvlJc w:val="left"/>
      <w:pPr>
        <w:tabs>
          <w:tab w:val="left" w:pos="3717"/>
        </w:tabs>
        <w:ind w:left="3717" w:hanging="420"/>
      </w:pPr>
      <w:rPr>
        <w:rFonts w:hint="default" w:ascii="Bookshelf Symbol 7" w:hAnsi="Bookshelf Symbol 7"/>
      </w:rPr>
    </w:lvl>
    <w:lvl w:ilvl="8" w:tentative="0">
      <w:start w:val="1"/>
      <w:numFmt w:val="bullet"/>
      <w:suff w:val="space"/>
      <w:lvlText w:val=""/>
      <w:lvlJc w:val="left"/>
      <w:pPr>
        <w:tabs>
          <w:tab w:val="left" w:pos="4137"/>
        </w:tabs>
        <w:ind w:left="4137" w:hanging="420"/>
      </w:pPr>
      <w:rPr>
        <w:rFonts w:hint="default" w:ascii="Bookshelf Symbol 7" w:hAnsi="Bookshelf Symbol 7"/>
      </w:rPr>
    </w:lvl>
  </w:abstractNum>
  <w:abstractNum w:abstractNumId="3">
    <w:nsid w:val="F4B5D9F5"/>
    <w:multiLevelType w:val="multilevel"/>
    <w:tmpl w:val="F4B5D9F5"/>
    <w:lvl w:ilvl="0" w:tentative="0">
      <w:start w:val="2"/>
      <w:numFmt w:val="decimal"/>
      <w:suff w:val="space"/>
      <w:lvlText w:val="%1、"/>
      <w:lvlJc w:val="left"/>
      <w:pPr>
        <w:tabs>
          <w:tab w:val="left" w:pos="840"/>
        </w:tabs>
        <w:ind w:left="840" w:hanging="360"/>
      </w:pPr>
      <w:rPr>
        <w:rFonts w:hint="default"/>
      </w:rPr>
    </w:lvl>
    <w:lvl w:ilvl="1" w:tentative="0">
      <w:start w:val="1"/>
      <w:numFmt w:val="lowerLetter"/>
      <w:suff w:val="space"/>
      <w:lvlText w:val="%2)"/>
      <w:lvlJc w:val="left"/>
      <w:pPr>
        <w:tabs>
          <w:tab w:val="left" w:pos="1320"/>
        </w:tabs>
        <w:ind w:left="1320" w:hanging="420"/>
      </w:pPr>
    </w:lvl>
    <w:lvl w:ilvl="2" w:tentative="0">
      <w:start w:val="1"/>
      <w:numFmt w:val="lowerRoman"/>
      <w:suff w:val="space"/>
      <w:lvlText w:val="%3."/>
      <w:lvlJc w:val="right"/>
      <w:pPr>
        <w:tabs>
          <w:tab w:val="left" w:pos="1740"/>
        </w:tabs>
        <w:ind w:left="1740" w:hanging="420"/>
      </w:pPr>
    </w:lvl>
    <w:lvl w:ilvl="3" w:tentative="0">
      <w:start w:val="1"/>
      <w:numFmt w:val="decimal"/>
      <w:suff w:val="space"/>
      <w:lvlText w:val="%4."/>
      <w:lvlJc w:val="left"/>
      <w:pPr>
        <w:tabs>
          <w:tab w:val="left" w:pos="2160"/>
        </w:tabs>
        <w:ind w:left="2160" w:hanging="420"/>
      </w:pPr>
    </w:lvl>
    <w:lvl w:ilvl="4" w:tentative="0">
      <w:start w:val="1"/>
      <w:numFmt w:val="lowerLetter"/>
      <w:suff w:val="space"/>
      <w:lvlText w:val="%5)"/>
      <w:lvlJc w:val="left"/>
      <w:pPr>
        <w:tabs>
          <w:tab w:val="left" w:pos="2580"/>
        </w:tabs>
        <w:ind w:left="2580" w:hanging="420"/>
      </w:pPr>
    </w:lvl>
    <w:lvl w:ilvl="5" w:tentative="0">
      <w:start w:val="1"/>
      <w:numFmt w:val="lowerRoman"/>
      <w:suff w:val="space"/>
      <w:lvlText w:val="%6."/>
      <w:lvlJc w:val="right"/>
      <w:pPr>
        <w:tabs>
          <w:tab w:val="left" w:pos="3000"/>
        </w:tabs>
        <w:ind w:left="3000" w:hanging="420"/>
      </w:pPr>
    </w:lvl>
    <w:lvl w:ilvl="6" w:tentative="0">
      <w:start w:val="1"/>
      <w:numFmt w:val="decimal"/>
      <w:suff w:val="space"/>
      <w:lvlText w:val="%7."/>
      <w:lvlJc w:val="left"/>
      <w:pPr>
        <w:tabs>
          <w:tab w:val="left" w:pos="3420"/>
        </w:tabs>
        <w:ind w:left="3420" w:hanging="420"/>
      </w:pPr>
    </w:lvl>
    <w:lvl w:ilvl="7" w:tentative="0">
      <w:start w:val="1"/>
      <w:numFmt w:val="lowerLetter"/>
      <w:suff w:val="space"/>
      <w:lvlText w:val="%8)"/>
      <w:lvlJc w:val="left"/>
      <w:pPr>
        <w:tabs>
          <w:tab w:val="left" w:pos="3840"/>
        </w:tabs>
        <w:ind w:left="3840" w:hanging="420"/>
      </w:pPr>
    </w:lvl>
    <w:lvl w:ilvl="8" w:tentative="0">
      <w:start w:val="1"/>
      <w:numFmt w:val="lowerRoman"/>
      <w:suff w:val="space"/>
      <w:lvlText w:val="%9."/>
      <w:lvlJc w:val="right"/>
      <w:pPr>
        <w:tabs>
          <w:tab w:val="left" w:pos="4260"/>
        </w:tabs>
        <w:ind w:left="4260" w:hanging="420"/>
      </w:p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5">
    <w:nsid w:val="59ADCABA"/>
    <w:multiLevelType w:val="multilevel"/>
    <w:tmpl w:val="59ADCABA"/>
    <w:lvl w:ilvl="0" w:tentative="0">
      <w:start w:val="1"/>
      <w:numFmt w:val="upperLetter"/>
      <w:pStyle w:val="268"/>
      <w:suff w:val="space"/>
      <w:lvlText w:val="附录%1."/>
      <w:lvlJc w:val="left"/>
      <w:pPr>
        <w:tabs>
          <w:tab w:val="left" w:pos="907"/>
        </w:tabs>
        <w:ind w:left="907" w:hanging="907"/>
      </w:pPr>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953F8"/>
    <w:rsid w:val="016F45ED"/>
    <w:rsid w:val="01871A13"/>
    <w:rsid w:val="0284231A"/>
    <w:rsid w:val="029D684B"/>
    <w:rsid w:val="02DD1A2B"/>
    <w:rsid w:val="031A79C6"/>
    <w:rsid w:val="03283AEF"/>
    <w:rsid w:val="03BD5AE4"/>
    <w:rsid w:val="03C30C20"/>
    <w:rsid w:val="03E07A24"/>
    <w:rsid w:val="050C416B"/>
    <w:rsid w:val="06361B7E"/>
    <w:rsid w:val="06E65352"/>
    <w:rsid w:val="074F1149"/>
    <w:rsid w:val="077214F6"/>
    <w:rsid w:val="07DC2619"/>
    <w:rsid w:val="080833A6"/>
    <w:rsid w:val="081E6918"/>
    <w:rsid w:val="083F0DF2"/>
    <w:rsid w:val="085B1D6F"/>
    <w:rsid w:val="08670714"/>
    <w:rsid w:val="08E92ED7"/>
    <w:rsid w:val="08FD4BD5"/>
    <w:rsid w:val="0A747118"/>
    <w:rsid w:val="0ADA003E"/>
    <w:rsid w:val="0BA31A63"/>
    <w:rsid w:val="0CBD6B55"/>
    <w:rsid w:val="0E981796"/>
    <w:rsid w:val="0ECD13F7"/>
    <w:rsid w:val="0FF85105"/>
    <w:rsid w:val="103E1D5B"/>
    <w:rsid w:val="10572555"/>
    <w:rsid w:val="109A25EC"/>
    <w:rsid w:val="116752E1"/>
    <w:rsid w:val="121D42C2"/>
    <w:rsid w:val="12521AED"/>
    <w:rsid w:val="12A6012B"/>
    <w:rsid w:val="12D544CC"/>
    <w:rsid w:val="13427DB4"/>
    <w:rsid w:val="13451A99"/>
    <w:rsid w:val="139879D4"/>
    <w:rsid w:val="15194B44"/>
    <w:rsid w:val="152139F9"/>
    <w:rsid w:val="154C4F1A"/>
    <w:rsid w:val="15E52C78"/>
    <w:rsid w:val="17354010"/>
    <w:rsid w:val="1968609A"/>
    <w:rsid w:val="1BF754B3"/>
    <w:rsid w:val="1D046CF7"/>
    <w:rsid w:val="1D752B34"/>
    <w:rsid w:val="1DEF28E6"/>
    <w:rsid w:val="1DEF6781"/>
    <w:rsid w:val="1ECA6EAF"/>
    <w:rsid w:val="1F9A2D26"/>
    <w:rsid w:val="21FF1772"/>
    <w:rsid w:val="226C530A"/>
    <w:rsid w:val="23E40A13"/>
    <w:rsid w:val="23EE6FD7"/>
    <w:rsid w:val="247E6772"/>
    <w:rsid w:val="24D6035C"/>
    <w:rsid w:val="25805811"/>
    <w:rsid w:val="264D28A0"/>
    <w:rsid w:val="26864004"/>
    <w:rsid w:val="27D4022E"/>
    <w:rsid w:val="2940049A"/>
    <w:rsid w:val="2984482A"/>
    <w:rsid w:val="29DA6B40"/>
    <w:rsid w:val="2BA10156"/>
    <w:rsid w:val="2C11436F"/>
    <w:rsid w:val="2C912711"/>
    <w:rsid w:val="2E1F2D74"/>
    <w:rsid w:val="2EC715C1"/>
    <w:rsid w:val="2F8E7B25"/>
    <w:rsid w:val="2FD506A6"/>
    <w:rsid w:val="3128368C"/>
    <w:rsid w:val="31EC164D"/>
    <w:rsid w:val="322748ED"/>
    <w:rsid w:val="325E5800"/>
    <w:rsid w:val="331210F9"/>
    <w:rsid w:val="331C5AD4"/>
    <w:rsid w:val="345A029A"/>
    <w:rsid w:val="359A3628"/>
    <w:rsid w:val="36A4650C"/>
    <w:rsid w:val="36B109DD"/>
    <w:rsid w:val="36C46BAE"/>
    <w:rsid w:val="375B2943"/>
    <w:rsid w:val="375F1270"/>
    <w:rsid w:val="37D812DD"/>
    <w:rsid w:val="38092E35"/>
    <w:rsid w:val="392B5DB7"/>
    <w:rsid w:val="39311BAD"/>
    <w:rsid w:val="39BF365D"/>
    <w:rsid w:val="3A0C12FA"/>
    <w:rsid w:val="3A655FB2"/>
    <w:rsid w:val="3A6E2844"/>
    <w:rsid w:val="3A891F91"/>
    <w:rsid w:val="3AE309F2"/>
    <w:rsid w:val="3B141786"/>
    <w:rsid w:val="3C072A10"/>
    <w:rsid w:val="3C236125"/>
    <w:rsid w:val="3C5E53AF"/>
    <w:rsid w:val="3D6D517E"/>
    <w:rsid w:val="3DA52B6A"/>
    <w:rsid w:val="3DA83401"/>
    <w:rsid w:val="3E3839DE"/>
    <w:rsid w:val="40095632"/>
    <w:rsid w:val="41AA074E"/>
    <w:rsid w:val="43370708"/>
    <w:rsid w:val="43454E1A"/>
    <w:rsid w:val="43E54C57"/>
    <w:rsid w:val="43E82799"/>
    <w:rsid w:val="44810C58"/>
    <w:rsid w:val="44B55D88"/>
    <w:rsid w:val="46F7671D"/>
    <w:rsid w:val="49F7474D"/>
    <w:rsid w:val="4A9849E8"/>
    <w:rsid w:val="4B3D6AD7"/>
    <w:rsid w:val="4B800B8F"/>
    <w:rsid w:val="4C3457E4"/>
    <w:rsid w:val="4CAF2E85"/>
    <w:rsid w:val="4D3D691B"/>
    <w:rsid w:val="4E4B12AA"/>
    <w:rsid w:val="4E50267E"/>
    <w:rsid w:val="4F27576E"/>
    <w:rsid w:val="4F734876"/>
    <w:rsid w:val="4FC26EF2"/>
    <w:rsid w:val="4FD712A8"/>
    <w:rsid w:val="50357D7D"/>
    <w:rsid w:val="508B3E41"/>
    <w:rsid w:val="50A32F39"/>
    <w:rsid w:val="530323B4"/>
    <w:rsid w:val="543264DF"/>
    <w:rsid w:val="54BF230B"/>
    <w:rsid w:val="56010E2D"/>
    <w:rsid w:val="5697709C"/>
    <w:rsid w:val="57D601E9"/>
    <w:rsid w:val="58BE3005"/>
    <w:rsid w:val="591F781C"/>
    <w:rsid w:val="593908DE"/>
    <w:rsid w:val="595079D6"/>
    <w:rsid w:val="59A5419F"/>
    <w:rsid w:val="5BB95D06"/>
    <w:rsid w:val="5DD230AF"/>
    <w:rsid w:val="5DD41469"/>
    <w:rsid w:val="5E802B0B"/>
    <w:rsid w:val="5ED13367"/>
    <w:rsid w:val="605842F0"/>
    <w:rsid w:val="61970898"/>
    <w:rsid w:val="62886432"/>
    <w:rsid w:val="64CC01AE"/>
    <w:rsid w:val="67F0485E"/>
    <w:rsid w:val="684E0824"/>
    <w:rsid w:val="69020CEC"/>
    <w:rsid w:val="690B501B"/>
    <w:rsid w:val="69342E70"/>
    <w:rsid w:val="69D65CD5"/>
    <w:rsid w:val="6A2A76B7"/>
    <w:rsid w:val="6DC351DB"/>
    <w:rsid w:val="6DE36C13"/>
    <w:rsid w:val="6ED36C87"/>
    <w:rsid w:val="6F086931"/>
    <w:rsid w:val="6F173018"/>
    <w:rsid w:val="6F580C7F"/>
    <w:rsid w:val="6F60051B"/>
    <w:rsid w:val="726633FF"/>
    <w:rsid w:val="740F42BD"/>
    <w:rsid w:val="752E2E69"/>
    <w:rsid w:val="7534019F"/>
    <w:rsid w:val="76330D09"/>
    <w:rsid w:val="764A782F"/>
    <w:rsid w:val="77933457"/>
    <w:rsid w:val="77F34F98"/>
    <w:rsid w:val="785335A9"/>
    <w:rsid w:val="78CF24A3"/>
    <w:rsid w:val="7B022DCE"/>
    <w:rsid w:val="7C9061B7"/>
    <w:rsid w:val="7DA43CC8"/>
    <w:rsid w:val="7E1C7D03"/>
    <w:rsid w:val="7E7F0292"/>
    <w:rsid w:val="7EE747B5"/>
    <w:rsid w:val="7F061F62"/>
    <w:rsid w:val="7F3825E6"/>
    <w:rsid w:val="7F5B391B"/>
    <w:rsid w:val="7FB82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39"/>
    <w:qFormat/>
    <w:uiPriority w:val="0"/>
    <w:pPr>
      <w:keepNext/>
      <w:keepLines/>
      <w:spacing w:before="260" w:after="260" w:line="416" w:lineRule="auto"/>
      <w:outlineLvl w:val="2"/>
    </w:pPr>
    <w:rPr>
      <w:b/>
      <w:bCs/>
      <w:sz w:val="32"/>
      <w:szCs w:val="32"/>
    </w:rPr>
  </w:style>
  <w:style w:type="paragraph" w:styleId="5">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6"/>
    <w:qFormat/>
    <w:uiPriority w:val="0"/>
    <w:pPr>
      <w:keepNext/>
      <w:outlineLvl w:val="4"/>
    </w:pPr>
    <w:rPr>
      <w:rFonts w:ascii="宋体"/>
      <w:color w:val="00000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6">
    <w:name w:val="Normal Indent"/>
    <w:basedOn w:val="1"/>
    <w:link w:val="238"/>
    <w:qFormat/>
    <w:uiPriority w:val="0"/>
    <w:pPr>
      <w:ind w:firstLine="420"/>
    </w:p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40"/>
    <w:semiHidden/>
    <w:qFormat/>
    <w:uiPriority w:val="0"/>
    <w:pPr>
      <w:shd w:val="clear" w:color="auto" w:fill="000080"/>
    </w:p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semiHidden/>
    <w:qFormat/>
    <w:uiPriority w:val="0"/>
    <w:pPr>
      <w:jc w:val="left"/>
    </w:pPr>
  </w:style>
  <w:style w:type="paragraph" w:styleId="18">
    <w:name w:val="Body Text 3"/>
    <w:basedOn w:val="1"/>
    <w:qFormat/>
    <w:uiPriority w:val="0"/>
    <w:rPr>
      <w:rFonts w:ascii="仿宋_GB2312" w:hAnsi="Arial" w:eastAsia="仿宋_GB2312"/>
      <w:sz w:val="32"/>
      <w:szCs w:val="32"/>
    </w:rPr>
  </w:style>
  <w:style w:type="paragraph" w:styleId="19">
    <w:name w:val="Body Text"/>
    <w:basedOn w:val="1"/>
    <w:qFormat/>
    <w:uiPriority w:val="0"/>
    <w:rPr>
      <w:rFonts w:ascii="楷体_GB2312" w:hAnsi="Arial" w:eastAsia="楷体_GB2312"/>
      <w:sz w:val="28"/>
      <w:szCs w:val="28"/>
    </w:rPr>
  </w:style>
  <w:style w:type="paragraph" w:styleId="20">
    <w:name w:val="Body Text Indent"/>
    <w:basedOn w:val="1"/>
    <w:next w:val="21"/>
    <w:qFormat/>
    <w:uiPriority w:val="0"/>
    <w:pPr>
      <w:ind w:firstLine="645"/>
    </w:pPr>
    <w:rPr>
      <w:rFonts w:ascii="楷体_GB2312" w:eastAsia="楷体_GB2312"/>
      <w:sz w:val="32"/>
      <w:szCs w:val="32"/>
    </w:rPr>
  </w:style>
  <w:style w:type="paragraph" w:styleId="21">
    <w:name w:val="envelope return"/>
    <w:basedOn w:val="1"/>
    <w:qFormat/>
    <w:uiPriority w:val="0"/>
    <w:rPr>
      <w:rFonts w:ascii="Arial" w:hAnsi="Arial"/>
    </w:rPr>
  </w:style>
  <w:style w:type="paragraph" w:styleId="22">
    <w:name w:val="List 2"/>
    <w:basedOn w:val="1"/>
    <w:qFormat/>
    <w:uiPriority w:val="0"/>
    <w:pPr>
      <w:ind w:left="100" w:hanging="200"/>
    </w:pPr>
  </w:style>
  <w:style w:type="paragraph" w:styleId="23">
    <w:name w:val="index 4"/>
    <w:basedOn w:val="1"/>
    <w:next w:val="1"/>
    <w:unhideWhenUsed/>
    <w:qFormat/>
    <w:uiPriority w:val="99"/>
    <w:pPr>
      <w:spacing w:before="100" w:beforeAutospacing="1" w:after="100" w:afterAutospacing="1"/>
      <w:ind w:left="600"/>
    </w:pPr>
    <w:rPr>
      <w:rFonts w:ascii="宋体"/>
      <w:b/>
      <w:bCs/>
      <w:position w:val="-10"/>
      <w:sz w:val="24"/>
      <w:szCs w:val="22"/>
    </w:rPr>
  </w:style>
  <w:style w:type="paragraph" w:styleId="24">
    <w:name w:val="toc 5"/>
    <w:basedOn w:val="1"/>
    <w:next w:val="1"/>
    <w:semiHidden/>
    <w:qFormat/>
    <w:uiPriority w:val="0"/>
    <w:pPr>
      <w:ind w:left="840"/>
      <w:jc w:val="left"/>
    </w:p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41"/>
    <w:qFormat/>
    <w:uiPriority w:val="99"/>
    <w:rPr>
      <w:rFonts w:ascii="宋体" w:hAnsi="Courier New"/>
    </w:rPr>
  </w:style>
  <w:style w:type="paragraph" w:styleId="27">
    <w:name w:val="toc 8"/>
    <w:basedOn w:val="1"/>
    <w:next w:val="1"/>
    <w:semiHidden/>
    <w:qFormat/>
    <w:uiPriority w:val="0"/>
    <w:pPr>
      <w:ind w:left="1470"/>
      <w:jc w:val="left"/>
    </w:pPr>
  </w:style>
  <w:style w:type="paragraph" w:styleId="28">
    <w:name w:val="Date"/>
    <w:basedOn w:val="1"/>
    <w:next w:val="1"/>
    <w:qFormat/>
    <w:uiPriority w:val="0"/>
    <w:rPr>
      <w:sz w:val="24"/>
      <w:szCs w:val="24"/>
    </w:rPr>
  </w:style>
  <w:style w:type="paragraph" w:styleId="29">
    <w:name w:val="Body Text Indent 2"/>
    <w:basedOn w:val="1"/>
    <w:qFormat/>
    <w:uiPriority w:val="0"/>
    <w:pPr>
      <w:ind w:left="630" w:firstLine="645"/>
    </w:pPr>
    <w:rPr>
      <w:rFonts w:ascii="Arial" w:hAnsi="Arial" w:eastAsia="仿宋_GB2312" w:cs="Arial"/>
      <w:sz w:val="32"/>
      <w:szCs w:val="32"/>
    </w:rPr>
  </w:style>
  <w:style w:type="paragraph" w:styleId="30">
    <w:name w:val="endnote text"/>
    <w:basedOn w:val="1"/>
    <w:link w:val="235"/>
    <w:semiHidden/>
    <w:unhideWhenUsed/>
    <w:qFormat/>
    <w:uiPriority w:val="99"/>
    <w:rPr>
      <w:sz w:val="20"/>
    </w:rPr>
  </w:style>
  <w:style w:type="paragraph" w:styleId="31">
    <w:name w:val="Balloon Text"/>
    <w:basedOn w:val="1"/>
    <w:semiHidden/>
    <w:qFormat/>
    <w:uiPriority w:val="0"/>
    <w:rPr>
      <w:sz w:val="18"/>
      <w:szCs w:val="18"/>
    </w:rPr>
  </w:style>
  <w:style w:type="paragraph" w:styleId="32">
    <w:name w:val="footer"/>
    <w:basedOn w:val="1"/>
    <w:qFormat/>
    <w:uiPriority w:val="0"/>
    <w:pPr>
      <w:tabs>
        <w:tab w:val="center" w:pos="4153"/>
        <w:tab w:val="right" w:pos="8306"/>
      </w:tabs>
      <w:jc w:val="left"/>
    </w:pPr>
    <w:rPr>
      <w:sz w:val="18"/>
      <w:szCs w:val="18"/>
    </w:rPr>
  </w:style>
  <w:style w:type="paragraph" w:styleId="33">
    <w:name w:val="header"/>
    <w:basedOn w:val="1"/>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style>
  <w:style w:type="paragraph" w:styleId="36">
    <w:name w:val="Subtitle"/>
    <w:basedOn w:val="1"/>
    <w:next w:val="1"/>
    <w:link w:val="101"/>
    <w:qFormat/>
    <w:uiPriority w:val="11"/>
    <w:pPr>
      <w:spacing w:before="200" w:after="200"/>
    </w:pPr>
    <w:rPr>
      <w:sz w:val="24"/>
      <w:szCs w:val="24"/>
    </w:rPr>
  </w:style>
  <w:style w:type="paragraph" w:styleId="37">
    <w:name w:val="List"/>
    <w:basedOn w:val="1"/>
    <w:qFormat/>
    <w:uiPriority w:val="0"/>
    <w:pPr>
      <w:ind w:left="200" w:hanging="200"/>
    </w:pPr>
  </w:style>
  <w:style w:type="paragraph" w:styleId="38">
    <w:name w:val="footnote text"/>
    <w:basedOn w:val="1"/>
    <w:link w:val="234"/>
    <w:semiHidden/>
    <w:unhideWhenUsed/>
    <w:qFormat/>
    <w:uiPriority w:val="99"/>
    <w:pPr>
      <w:spacing w:after="40"/>
    </w:pPr>
    <w:rPr>
      <w:sz w:val="18"/>
    </w:rPr>
  </w:style>
  <w:style w:type="paragraph" w:styleId="39">
    <w:name w:val="toc 6"/>
    <w:basedOn w:val="1"/>
    <w:next w:val="1"/>
    <w:semiHidden/>
    <w:qFormat/>
    <w:uiPriority w:val="0"/>
    <w:pPr>
      <w:ind w:left="1050"/>
      <w:jc w:val="left"/>
    </w:pPr>
  </w:style>
  <w:style w:type="paragraph" w:styleId="40">
    <w:name w:val="Body Text Indent 3"/>
    <w:basedOn w:val="1"/>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style>
  <w:style w:type="paragraph" w:styleId="44">
    <w:name w:val="Body Text 2"/>
    <w:basedOn w:val="1"/>
    <w:qFormat/>
    <w:uiPriority w:val="0"/>
    <w:pPr>
      <w:widowControl/>
      <w:jc w:val="center"/>
    </w:pPr>
    <w:rPr>
      <w:rFonts w:ascii="楷体_GB2312" w:eastAsia="楷体_GB2312"/>
      <w:sz w:val="28"/>
      <w:szCs w:val="28"/>
    </w:rPr>
  </w:style>
  <w:style w:type="paragraph" w:styleId="45">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6">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rPr>
  </w:style>
  <w:style w:type="paragraph" w:styleId="48">
    <w:name w:val="Title"/>
    <w:basedOn w:val="1"/>
    <w:next w:val="1"/>
    <w:link w:val="100"/>
    <w:qFormat/>
    <w:uiPriority w:val="10"/>
    <w:pPr>
      <w:spacing w:before="300" w:after="200"/>
      <w:contextualSpacing/>
    </w:pPr>
    <w:rPr>
      <w:sz w:val="48"/>
      <w:szCs w:val="48"/>
    </w:rPr>
  </w:style>
  <w:style w:type="paragraph" w:styleId="49">
    <w:name w:val="annotation subject"/>
    <w:basedOn w:val="17"/>
    <w:next w:val="17"/>
    <w:semiHidden/>
    <w:qFormat/>
    <w:uiPriority w:val="0"/>
    <w:rPr>
      <w:b/>
      <w:bCs/>
    </w:rPr>
  </w:style>
  <w:style w:type="paragraph" w:styleId="50">
    <w:name w:val="Body Text First Indent"/>
    <w:basedOn w:val="19"/>
    <w:next w:val="1"/>
    <w:qFormat/>
    <w:uiPriority w:val="0"/>
    <w:pPr>
      <w:spacing w:line="360" w:lineRule="auto"/>
      <w:ind w:firstLine="200"/>
    </w:pPr>
    <w:rPr>
      <w:rFonts w:ascii="仿宋_GB2312" w:eastAsia="仿宋_GB2312"/>
      <w:sz w:val="30"/>
      <w:szCs w:val="30"/>
    </w:rPr>
  </w:style>
  <w:style w:type="paragraph" w:styleId="51">
    <w:name w:val="Body Text First Indent 2"/>
    <w:basedOn w:val="20"/>
    <w:next w:val="6"/>
    <w:qFormat/>
    <w:uiPriority w:val="0"/>
    <w:pPr>
      <w:spacing w:line="360" w:lineRule="auto"/>
      <w:ind w:firstLine="420"/>
    </w:pPr>
    <w:rPr>
      <w:rFonts w:ascii="宋体" w:hAnsi="宋体" w:eastAsia="宋体"/>
      <w:sz w:val="21"/>
      <w:szCs w:val="20"/>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55">
    <w:name w:val="Strong"/>
    <w:basedOn w:val="54"/>
    <w:qFormat/>
    <w:uiPriority w:val="0"/>
    <w:rPr>
      <w:b/>
      <w:bCs/>
    </w:rPr>
  </w:style>
  <w:style w:type="character" w:styleId="56">
    <w:name w:val="endnote reference"/>
    <w:basedOn w:val="54"/>
    <w:semiHidden/>
    <w:unhideWhenUsed/>
    <w:qFormat/>
    <w:uiPriority w:val="99"/>
    <w:rPr>
      <w:vertAlign w:val="superscript"/>
    </w:rPr>
  </w:style>
  <w:style w:type="character" w:styleId="57">
    <w:name w:val="page number"/>
    <w:qFormat/>
    <w:uiPriority w:val="0"/>
  </w:style>
  <w:style w:type="character" w:styleId="58">
    <w:name w:val="FollowedHyperlink"/>
    <w:qFormat/>
    <w:uiPriority w:val="0"/>
    <w:rPr>
      <w:color w:val="800080"/>
      <w:u w:val="single"/>
    </w:rPr>
  </w:style>
  <w:style w:type="character" w:styleId="59">
    <w:name w:val="Emphasis"/>
    <w:qFormat/>
    <w:uiPriority w:val="20"/>
    <w:rPr>
      <w:i/>
    </w:rPr>
  </w:style>
  <w:style w:type="character" w:styleId="60">
    <w:name w:val="Hyperlink"/>
    <w:qFormat/>
    <w:uiPriority w:val="0"/>
    <w:rPr>
      <w:color w:val="0000FF"/>
      <w:u w:val="single"/>
    </w:rPr>
  </w:style>
  <w:style w:type="character" w:styleId="61">
    <w:name w:val="annotation reference"/>
    <w:semiHidden/>
    <w:qFormat/>
    <w:uiPriority w:val="0"/>
    <w:rPr>
      <w:sz w:val="21"/>
      <w:szCs w:val="21"/>
    </w:rPr>
  </w:style>
  <w:style w:type="character" w:styleId="62">
    <w:name w:val="footnote reference"/>
    <w:basedOn w:val="54"/>
    <w:unhideWhenUsed/>
    <w:qFormat/>
    <w:uiPriority w:val="99"/>
    <w:rPr>
      <w:vertAlign w:val="superscript"/>
    </w:rPr>
  </w:style>
  <w:style w:type="character" w:customStyle="1" w:styleId="63">
    <w:name w:val="Title Char"/>
    <w:basedOn w:val="54"/>
    <w:qFormat/>
    <w:uiPriority w:val="10"/>
    <w:rPr>
      <w:sz w:val="48"/>
      <w:szCs w:val="48"/>
    </w:rPr>
  </w:style>
  <w:style w:type="character" w:customStyle="1" w:styleId="64">
    <w:name w:val="Subtitle Char"/>
    <w:basedOn w:val="54"/>
    <w:qFormat/>
    <w:uiPriority w:val="11"/>
    <w:rPr>
      <w:sz w:val="24"/>
      <w:szCs w:val="24"/>
    </w:rPr>
  </w:style>
  <w:style w:type="character" w:customStyle="1" w:styleId="65">
    <w:name w:val="Quote Char"/>
    <w:qFormat/>
    <w:uiPriority w:val="29"/>
    <w:rPr>
      <w:i/>
    </w:rPr>
  </w:style>
  <w:style w:type="character" w:customStyle="1" w:styleId="66">
    <w:name w:val="Intense Quote Char"/>
    <w:qFormat/>
    <w:uiPriority w:val="30"/>
    <w:rPr>
      <w:i/>
    </w:rPr>
  </w:style>
  <w:style w:type="table" w:customStyle="1" w:styleId="67">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8">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9">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0">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1">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72">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73">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5">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6">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77">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78">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79">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80">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81">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82">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83">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84">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85">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character" w:customStyle="1" w:styleId="86">
    <w:name w:val="Footnote Text Char"/>
    <w:qFormat/>
    <w:uiPriority w:val="99"/>
    <w:rPr>
      <w:sz w:val="18"/>
    </w:rPr>
  </w:style>
  <w:style w:type="character" w:customStyle="1" w:styleId="87">
    <w:name w:val="Endnote Text Char"/>
    <w:qFormat/>
    <w:uiPriority w:val="99"/>
    <w:rPr>
      <w:sz w:val="20"/>
    </w:rPr>
  </w:style>
  <w:style w:type="paragraph" w:customStyle="1" w:styleId="88">
    <w:name w:val="TOC Heading"/>
    <w:unhideWhenUsed/>
    <w:qFormat/>
    <w:uiPriority w:val="39"/>
    <w:rPr>
      <w:rFonts w:hint="default" w:ascii="Times New Roman" w:hAnsi="Times New Roman" w:eastAsia="宋体" w:cs="Times New Roman"/>
    </w:rPr>
  </w:style>
  <w:style w:type="paragraph" w:customStyle="1" w:styleId="89">
    <w:name w:val="Default"/>
    <w:basedOn w:val="1"/>
    <w:qFormat/>
    <w:uiPriority w:val="0"/>
    <w:pPr>
      <w:jc w:val="left"/>
    </w:pPr>
    <w:rPr>
      <w:rFonts w:ascii="宋体" w:hAnsi="Calibri" w:cs="宋体"/>
      <w:color w:val="000000"/>
      <w:sz w:val="24"/>
    </w:rPr>
  </w:style>
  <w:style w:type="character" w:customStyle="1" w:styleId="90">
    <w:name w:val="Heading 1 Char"/>
    <w:basedOn w:val="54"/>
    <w:qFormat/>
    <w:uiPriority w:val="9"/>
    <w:rPr>
      <w:rFonts w:ascii="Arial" w:hAnsi="Arial" w:eastAsia="Arial" w:cs="Arial"/>
      <w:sz w:val="40"/>
      <w:szCs w:val="40"/>
    </w:rPr>
  </w:style>
  <w:style w:type="character" w:customStyle="1" w:styleId="91">
    <w:name w:val="Heading 2 Char"/>
    <w:basedOn w:val="54"/>
    <w:qFormat/>
    <w:uiPriority w:val="9"/>
    <w:rPr>
      <w:rFonts w:ascii="Arial" w:hAnsi="Arial" w:eastAsia="Arial" w:cs="Arial"/>
      <w:sz w:val="34"/>
    </w:rPr>
  </w:style>
  <w:style w:type="character" w:customStyle="1" w:styleId="92">
    <w:name w:val="Heading 3 Char"/>
    <w:basedOn w:val="54"/>
    <w:qFormat/>
    <w:uiPriority w:val="9"/>
    <w:rPr>
      <w:rFonts w:ascii="Arial" w:hAnsi="Arial" w:eastAsia="Arial" w:cs="Arial"/>
      <w:sz w:val="30"/>
      <w:szCs w:val="30"/>
    </w:rPr>
  </w:style>
  <w:style w:type="character" w:customStyle="1" w:styleId="93">
    <w:name w:val="Heading 4 Char"/>
    <w:basedOn w:val="54"/>
    <w:qFormat/>
    <w:uiPriority w:val="9"/>
    <w:rPr>
      <w:rFonts w:ascii="Arial" w:hAnsi="Arial" w:eastAsia="Arial" w:cs="Arial"/>
      <w:b/>
      <w:bCs/>
      <w:sz w:val="26"/>
      <w:szCs w:val="26"/>
    </w:rPr>
  </w:style>
  <w:style w:type="character" w:customStyle="1" w:styleId="94">
    <w:name w:val="Heading 5 Char"/>
    <w:basedOn w:val="54"/>
    <w:qFormat/>
    <w:uiPriority w:val="9"/>
    <w:rPr>
      <w:rFonts w:ascii="Arial" w:hAnsi="Arial" w:eastAsia="Arial" w:cs="Arial"/>
      <w:b/>
      <w:bCs/>
      <w:sz w:val="24"/>
      <w:szCs w:val="24"/>
    </w:rPr>
  </w:style>
  <w:style w:type="character" w:customStyle="1" w:styleId="95">
    <w:name w:val="Heading 6 Char"/>
    <w:basedOn w:val="54"/>
    <w:qFormat/>
    <w:uiPriority w:val="9"/>
    <w:rPr>
      <w:rFonts w:ascii="Arial" w:hAnsi="Arial" w:eastAsia="Arial" w:cs="Arial"/>
      <w:b/>
      <w:bCs/>
      <w:sz w:val="22"/>
      <w:szCs w:val="22"/>
    </w:rPr>
  </w:style>
  <w:style w:type="character" w:customStyle="1" w:styleId="96">
    <w:name w:val="Heading 7 Char"/>
    <w:basedOn w:val="54"/>
    <w:qFormat/>
    <w:uiPriority w:val="9"/>
    <w:rPr>
      <w:rFonts w:ascii="Arial" w:hAnsi="Arial" w:eastAsia="Arial" w:cs="Arial"/>
      <w:b/>
      <w:bCs/>
      <w:i/>
      <w:iCs/>
      <w:sz w:val="22"/>
      <w:szCs w:val="22"/>
    </w:rPr>
  </w:style>
  <w:style w:type="character" w:customStyle="1" w:styleId="97">
    <w:name w:val="Heading 8 Char"/>
    <w:basedOn w:val="54"/>
    <w:qFormat/>
    <w:uiPriority w:val="9"/>
    <w:rPr>
      <w:rFonts w:ascii="Arial" w:hAnsi="Arial" w:eastAsia="Arial" w:cs="Arial"/>
      <w:i/>
      <w:iCs/>
      <w:sz w:val="22"/>
      <w:szCs w:val="22"/>
    </w:rPr>
  </w:style>
  <w:style w:type="character" w:customStyle="1" w:styleId="98">
    <w:name w:val="Heading 9 Char"/>
    <w:basedOn w:val="54"/>
    <w:qFormat/>
    <w:uiPriority w:val="9"/>
    <w:rPr>
      <w:rFonts w:ascii="Arial" w:hAnsi="Arial" w:eastAsia="Arial" w:cs="Arial"/>
      <w:i/>
      <w:iCs/>
      <w:sz w:val="21"/>
      <w:szCs w:val="21"/>
    </w:rPr>
  </w:style>
  <w:style w:type="paragraph" w:styleId="99">
    <w:name w:val="No Spacing"/>
    <w:qFormat/>
    <w:uiPriority w:val="1"/>
    <w:rPr>
      <w:rFonts w:hint="default" w:ascii="Times New Roman" w:hAnsi="Times New Roman" w:eastAsia="宋体" w:cs="Times New Roman"/>
      <w:lang w:val="en-US" w:eastAsia="zh-CN" w:bidi="ar-SA"/>
    </w:rPr>
  </w:style>
  <w:style w:type="character" w:customStyle="1" w:styleId="100">
    <w:name w:val="标题 Char"/>
    <w:basedOn w:val="54"/>
    <w:link w:val="48"/>
    <w:qFormat/>
    <w:uiPriority w:val="10"/>
    <w:rPr>
      <w:sz w:val="48"/>
      <w:szCs w:val="48"/>
    </w:rPr>
  </w:style>
  <w:style w:type="character" w:customStyle="1" w:styleId="101">
    <w:name w:val="副标题 Char"/>
    <w:basedOn w:val="54"/>
    <w:link w:val="36"/>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Char"/>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Char"/>
    <w:link w:val="104"/>
    <w:qFormat/>
    <w:uiPriority w:val="30"/>
    <w:rPr>
      <w:i/>
    </w:rPr>
  </w:style>
  <w:style w:type="character" w:customStyle="1" w:styleId="106">
    <w:name w:val="Header Char"/>
    <w:basedOn w:val="54"/>
    <w:qFormat/>
    <w:uiPriority w:val="99"/>
  </w:style>
  <w:style w:type="character" w:customStyle="1" w:styleId="107">
    <w:name w:val="Footer Char"/>
    <w:basedOn w:val="54"/>
    <w:qFormat/>
    <w:uiPriority w:val="99"/>
  </w:style>
  <w:style w:type="character" w:customStyle="1" w:styleId="108">
    <w:name w:val="Caption Char"/>
    <w:qFormat/>
    <w:uiPriority w:val="99"/>
  </w:style>
  <w:style w:type="table" w:customStyle="1" w:styleId="109">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10">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111">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2">
    <w:name w:val="无格式表格 31"/>
    <w:basedOn w:val="5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113">
    <w:name w:val="无格式表格 41"/>
    <w:basedOn w:val="5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114">
    <w:name w:val="无格式表格 51"/>
    <w:basedOn w:val="5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115">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116">
    <w:name w:val="Grid Table 1 Light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17">
    <w:name w:val="Grid Table 1 Light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18">
    <w:name w:val="Grid Table 1 Light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19">
    <w:name w:val="Grid Table 1 Light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20">
    <w:name w:val="Grid Table 1 Light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21">
    <w:name w:val="Grid Table 1 Light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122">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123">
    <w:name w:val="Grid Table 2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124">
    <w:name w:val="Grid Table 2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125">
    <w:name w:val="Grid Table 2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126">
    <w:name w:val="Grid Table 2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127">
    <w:name w:val="Grid Table 2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128">
    <w:name w:val="Grid Table 2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129">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130">
    <w:name w:val="Grid Table 3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131">
    <w:name w:val="Grid Table 3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132">
    <w:name w:val="Grid Table 3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133">
    <w:name w:val="Grid Table 3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134">
    <w:name w:val="Grid Table 3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135">
    <w:name w:val="Grid Table 3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136">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137">
    <w:name w:val="Grid Table 4 - Accent 1"/>
    <w:basedOn w:val="5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138">
    <w:name w:val="Grid Table 4 - Accent 2"/>
    <w:basedOn w:val="5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139">
    <w:name w:val="Grid Table 4 - Accent 3"/>
    <w:basedOn w:val="5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140">
    <w:name w:val="Grid Table 4 - Accent 4"/>
    <w:basedOn w:val="5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141">
    <w:name w:val="Grid Table 4 - Accent 5"/>
    <w:basedOn w:val="5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142">
    <w:name w:val="Grid Table 4 - Accent 6"/>
    <w:basedOn w:val="5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143">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144">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145">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146">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147">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148">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149">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50">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1">
    <w:name w:val="Grid Table 6 Colorful - Accent 1"/>
    <w:basedOn w:val="5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52">
    <w:name w:val="Grid Table 6 Colorful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3">
    <w:name w:val="Grid Table 6 Colorful - Accent 3"/>
    <w:basedOn w:val="5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neCell"/>
    <w:tblStylePr w:type="nwCell"/>
    <w:tblStylePr w:type="seCell"/>
    <w:tblStylePr w:type="swCell"/>
  </w:style>
  <w:style w:type="table" w:customStyle="1" w:styleId="154">
    <w:name w:val="Grid Table 6 Colorful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5">
    <w:name w:val="Grid Table 6 Colorful - Accent 5"/>
    <w:basedOn w:val="5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56">
    <w:name w:val="Grid Table 6 Colorful - Accent 6"/>
    <w:basedOn w:val="5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57">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8">
    <w:name w:val="Grid Table 7 Colorful - Accent 1"/>
    <w:basedOn w:val="5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59">
    <w:name w:val="Grid Table 7 Colorful - Accent 2"/>
    <w:basedOn w:val="5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0">
    <w:name w:val="Grid Table 7 Colorful - Accent 3"/>
    <w:basedOn w:val="5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neCell"/>
    <w:tblStylePr w:type="nwCell"/>
    <w:tblStylePr w:type="seCell"/>
    <w:tblStylePr w:type="swCell"/>
  </w:style>
  <w:style w:type="table" w:customStyle="1" w:styleId="161">
    <w:name w:val="Grid Table 7 Colorful - Accent 4"/>
    <w:basedOn w:val="5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2">
    <w:name w:val="Grid Table 7 Colorful - Accent 5"/>
    <w:basedOn w:val="5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63">
    <w:name w:val="Grid Table 7 Colorful - Accent 6"/>
    <w:basedOn w:val="5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64">
    <w:name w:val="清单表 1 浅色1"/>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65">
    <w:name w:val="List Table 1 Light - Accent 1"/>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66">
    <w:name w:val="List Table 1 Light - Accent 2"/>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67">
    <w:name w:val="List Table 1 Light - Accent 3"/>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68">
    <w:name w:val="List Table 1 Light - Accent 4"/>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69">
    <w:name w:val="List Table 1 Light - Accent 5"/>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70">
    <w:name w:val="List Table 1 Light - Accent 6"/>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71">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72">
    <w:name w:val="List Table 2 - Accent 1"/>
    <w:basedOn w:val="5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73">
    <w:name w:val="List Table 2 - Accent 2"/>
    <w:basedOn w:val="5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74">
    <w:name w:val="List Table 2 - Accent 3"/>
    <w:basedOn w:val="5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75">
    <w:name w:val="List Table 2 - Accent 4"/>
    <w:basedOn w:val="5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76">
    <w:name w:val="List Table 2 - Accent 5"/>
    <w:basedOn w:val="5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77">
    <w:name w:val="List Table 2 - Accent 6"/>
    <w:basedOn w:val="5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78">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79">
    <w:name w:val="List Table 3 - Accent 1"/>
    <w:basedOn w:val="5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80">
    <w:name w:val="List Table 3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81">
    <w:name w:val="List Table 3 - Accent 3"/>
    <w:basedOn w:val="5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82">
    <w:name w:val="List Table 3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83">
    <w:name w:val="List Table 3 - Accent 5"/>
    <w:basedOn w:val="5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84">
    <w:name w:val="List Table 3 - Accent 6"/>
    <w:basedOn w:val="5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85">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86">
    <w:name w:val="List Table 4 - Accent 1"/>
    <w:basedOn w:val="5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87">
    <w:name w:val="List Table 4 - Accent 2"/>
    <w:basedOn w:val="5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88">
    <w:name w:val="List Table 4 - Accent 3"/>
    <w:basedOn w:val="5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89">
    <w:name w:val="List Table 4 - Accent 4"/>
    <w:basedOn w:val="5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90">
    <w:name w:val="List Table 4 - Accent 5"/>
    <w:basedOn w:val="5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91">
    <w:name w:val="List Table 4 - Accent 6"/>
    <w:basedOn w:val="5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92">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93">
    <w:name w:val="List Table 5 Dark - Accent 1"/>
    <w:basedOn w:val="5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94">
    <w:name w:val="List Table 5 Dark - Accent 2"/>
    <w:basedOn w:val="5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95">
    <w:name w:val="List Table 5 Dark - Accent 3"/>
    <w:basedOn w:val="5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96">
    <w:name w:val="List Table 5 Dark - Accent 4"/>
    <w:basedOn w:val="5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97">
    <w:name w:val="List Table 5 Dark - Accent 5"/>
    <w:basedOn w:val="5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98">
    <w:name w:val="List Table 5 Dark - Accent 6"/>
    <w:basedOn w:val="5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99">
    <w:name w:val="清单表 6 彩色1"/>
    <w:basedOn w:val="5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200">
    <w:name w:val="List Table 6 Colorful - Accent 1"/>
    <w:basedOn w:val="52"/>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201">
    <w:name w:val="List Table 6 Colorful - Accent 2"/>
    <w:basedOn w:val="52"/>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202">
    <w:name w:val="List Table 6 Colorful - Accent 3"/>
    <w:basedOn w:val="52"/>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203">
    <w:name w:val="List Table 6 Colorful - Accent 4"/>
    <w:basedOn w:val="52"/>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204">
    <w:name w:val="List Table 6 Colorful - Accent 5"/>
    <w:basedOn w:val="52"/>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205">
    <w:name w:val="List Table 6 Colorful - Accent 6"/>
    <w:basedOn w:val="52"/>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206">
    <w:name w:val="清单表 7 彩色1"/>
    <w:basedOn w:val="5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207">
    <w:name w:val="List Table 7 Colorful - Accent 1"/>
    <w:basedOn w:val="52"/>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208">
    <w:name w:val="List Table 7 Colorful - Accent 2"/>
    <w:basedOn w:val="52"/>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209">
    <w:name w:val="List Table 7 Colorful - Accent 3"/>
    <w:basedOn w:val="52"/>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210">
    <w:name w:val="List Table 7 Colorful - Accent 4"/>
    <w:basedOn w:val="52"/>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211">
    <w:name w:val="List Table 7 Colorful - Accent 5"/>
    <w:basedOn w:val="52"/>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212">
    <w:name w:val="List Table 7 Colorful - Accent 6"/>
    <w:basedOn w:val="52"/>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213">
    <w:name w:val="Lined - Accent"/>
    <w:basedOn w:val="5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214">
    <w:name w:val="Lined - Accent 1"/>
    <w:basedOn w:val="5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215">
    <w:name w:val="Lined - Accent 2"/>
    <w:basedOn w:val="5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216">
    <w:name w:val="Lined - Accent 3"/>
    <w:basedOn w:val="5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217">
    <w:name w:val="Lined - Accent 4"/>
    <w:basedOn w:val="5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218">
    <w:name w:val="Lined - Accent 5"/>
    <w:basedOn w:val="5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219">
    <w:name w:val="Lined - Accent 6"/>
    <w:basedOn w:val="5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220">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221">
    <w:name w:val="Bordered &amp; Lined - Accent 1"/>
    <w:basedOn w:val="5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222">
    <w:name w:val="Bordered &amp; Lined - Accent 2"/>
    <w:basedOn w:val="5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223">
    <w:name w:val="Bordered &amp; Lined - Accent 3"/>
    <w:basedOn w:val="5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224">
    <w:name w:val="Bordered &amp; Lined - Accent 4"/>
    <w:basedOn w:val="5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225">
    <w:name w:val="Bordered &amp; Lined - Accent 5"/>
    <w:basedOn w:val="5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226">
    <w:name w:val="Bordered &amp; Lined - Accent 6"/>
    <w:basedOn w:val="5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227">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228">
    <w:name w:val="Bordered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229">
    <w:name w:val="Bordered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230">
    <w:name w:val="Bordered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231">
    <w:name w:val="Bordered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232">
    <w:name w:val="Bordered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233">
    <w:name w:val="Bordered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234">
    <w:name w:val="脚注文本 Char"/>
    <w:link w:val="38"/>
    <w:qFormat/>
    <w:uiPriority w:val="99"/>
    <w:rPr>
      <w:sz w:val="18"/>
    </w:rPr>
  </w:style>
  <w:style w:type="character" w:customStyle="1" w:styleId="235">
    <w:name w:val="尾注文本 Char"/>
    <w:link w:val="30"/>
    <w:qFormat/>
    <w:uiPriority w:val="99"/>
    <w:rPr>
      <w:sz w:val="20"/>
    </w:rPr>
  </w:style>
  <w:style w:type="paragraph" w:customStyle="1" w:styleId="236">
    <w:name w:val="TOC 标题1"/>
    <w:unhideWhenUsed/>
    <w:qFormat/>
    <w:uiPriority w:val="39"/>
    <w:rPr>
      <w:rFonts w:hint="default" w:ascii="Times New Roman" w:hAnsi="Times New Roman" w:eastAsia="宋体" w:cs="Times New Roman"/>
      <w:lang w:val="en-US" w:eastAsia="zh-CN" w:bidi="ar-SA"/>
    </w:rPr>
  </w:style>
  <w:style w:type="paragraph" w:customStyle="1" w:styleId="237">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character" w:customStyle="1" w:styleId="238">
    <w:name w:val="正文缩进 Char"/>
    <w:link w:val="6"/>
    <w:qFormat/>
    <w:uiPriority w:val="0"/>
    <w:rPr>
      <w:sz w:val="21"/>
      <w:szCs w:val="21"/>
    </w:rPr>
  </w:style>
  <w:style w:type="character" w:customStyle="1" w:styleId="239">
    <w:name w:val="标题 3 Char"/>
    <w:link w:val="4"/>
    <w:qFormat/>
    <w:uiPriority w:val="0"/>
    <w:rPr>
      <w:rFonts w:eastAsia="宋体"/>
      <w:b/>
      <w:bCs/>
      <w:sz w:val="32"/>
      <w:szCs w:val="32"/>
      <w:lang w:val="en-US" w:eastAsia="zh-CN" w:bidi="ar-SA"/>
    </w:rPr>
  </w:style>
  <w:style w:type="character" w:customStyle="1" w:styleId="240">
    <w:name w:val="文档结构图 Char"/>
    <w:link w:val="15"/>
    <w:qFormat/>
    <w:uiPriority w:val="0"/>
    <w:rPr>
      <w:rFonts w:eastAsia="宋体"/>
      <w:sz w:val="21"/>
      <w:szCs w:val="21"/>
      <w:lang w:val="en-US" w:eastAsia="zh-CN" w:bidi="ar-SA"/>
    </w:rPr>
  </w:style>
  <w:style w:type="character" w:customStyle="1" w:styleId="241">
    <w:name w:val="纯文本 Char"/>
    <w:link w:val="26"/>
    <w:qFormat/>
    <w:uiPriority w:val="99"/>
    <w:rPr>
      <w:rFonts w:ascii="宋体" w:hAnsi="Courier New" w:cs="Courier New"/>
      <w:sz w:val="21"/>
      <w:szCs w:val="21"/>
    </w:rPr>
  </w:style>
  <w:style w:type="paragraph" w:customStyle="1" w:styleId="242">
    <w:name w:val="首行缩进"/>
    <w:basedOn w:val="1"/>
    <w:qFormat/>
    <w:uiPriority w:val="0"/>
    <w:pPr>
      <w:ind w:firstLine="480"/>
    </w:pPr>
    <w:rPr>
      <w:szCs w:val="20"/>
      <w:lang w:val="zh-CN"/>
    </w:rPr>
  </w:style>
  <w:style w:type="paragraph" w:styleId="243">
    <w:name w:val="List Paragraph"/>
    <w:basedOn w:val="1"/>
    <w:qFormat/>
    <w:uiPriority w:val="34"/>
    <w:pPr>
      <w:widowControl/>
      <w:ind w:left="720"/>
      <w:contextualSpacing/>
      <w:jc w:val="left"/>
    </w:pPr>
    <w:rPr>
      <w:rFonts w:ascii="Calibri" w:hAnsi="Calibri"/>
      <w:sz w:val="24"/>
      <w:szCs w:val="24"/>
      <w:lang w:eastAsia="en-US" w:bidi="en-US"/>
    </w:rPr>
  </w:style>
  <w:style w:type="character" w:customStyle="1" w:styleId="244">
    <w:name w:val="font41"/>
    <w:qFormat/>
    <w:uiPriority w:val="0"/>
    <w:rPr>
      <w:rFonts w:hint="eastAsia" w:ascii="宋体" w:hAnsi="宋体" w:eastAsia="宋体" w:cs="宋体"/>
      <w:b/>
      <w:bCs/>
      <w:color w:val="000000"/>
      <w:sz w:val="22"/>
      <w:szCs w:val="22"/>
      <w:u w:val="none"/>
    </w:rPr>
  </w:style>
  <w:style w:type="character" w:customStyle="1" w:styleId="245">
    <w:name w:val="列出段落 Char"/>
    <w:link w:val="246"/>
    <w:qFormat/>
    <w:uiPriority w:val="0"/>
    <w:rPr>
      <w:rFonts w:ascii="Calibri" w:hAnsi="Calibri"/>
      <w:sz w:val="24"/>
      <w:szCs w:val="24"/>
      <w:lang w:eastAsia="en-US" w:bidi="en-US"/>
    </w:rPr>
  </w:style>
  <w:style w:type="paragraph" w:customStyle="1" w:styleId="246">
    <w:name w:val="列出段落1"/>
    <w:basedOn w:val="1"/>
    <w:link w:val="245"/>
    <w:qFormat/>
    <w:uiPriority w:val="0"/>
    <w:pPr>
      <w:widowControl/>
      <w:ind w:left="720"/>
      <w:contextualSpacing/>
      <w:jc w:val="left"/>
    </w:pPr>
    <w:rPr>
      <w:rFonts w:ascii="Calibri" w:hAnsi="Calibri"/>
      <w:sz w:val="24"/>
      <w:szCs w:val="24"/>
      <w:lang w:eastAsia="en-US" w:bidi="en-US"/>
    </w:rPr>
  </w:style>
  <w:style w:type="character" w:customStyle="1" w:styleId="247">
    <w:name w:val="font71"/>
    <w:qFormat/>
    <w:uiPriority w:val="0"/>
    <w:rPr>
      <w:rFonts w:ascii="Cambria Math" w:hAnsi="Cambria Math" w:eastAsia="Cambria Math" w:cs="Cambria Math"/>
      <w:color w:val="000000"/>
      <w:sz w:val="22"/>
      <w:szCs w:val="22"/>
      <w:u w:val="none"/>
    </w:rPr>
  </w:style>
  <w:style w:type="character" w:customStyle="1" w:styleId="248">
    <w:name w:val="font91"/>
    <w:qFormat/>
    <w:uiPriority w:val="0"/>
    <w:rPr>
      <w:rFonts w:hint="eastAsia" w:ascii="宋体" w:hAnsi="宋体" w:eastAsia="宋体" w:cs="宋体"/>
      <w:color w:val="FF0000"/>
      <w:sz w:val="22"/>
      <w:szCs w:val="22"/>
      <w:u w:val="none"/>
    </w:rPr>
  </w:style>
  <w:style w:type="character" w:customStyle="1" w:styleId="249">
    <w:name w:val="font5 Char"/>
    <w:qFormat/>
    <w:uiPriority w:val="0"/>
    <w:rPr>
      <w:rFonts w:ascii="宋体" w:hAnsi="宋体" w:eastAsia="宋体"/>
      <w:sz w:val="28"/>
      <w:szCs w:val="28"/>
      <w:lang w:val="en-US" w:eastAsia="zh-CN" w:bidi="ar-SA"/>
    </w:rPr>
  </w:style>
  <w:style w:type="character" w:customStyle="1" w:styleId="250">
    <w:name w:val="二级目录 Char"/>
    <w:link w:val="251"/>
    <w:qFormat/>
    <w:uiPriority w:val="0"/>
    <w:rPr>
      <w:b/>
      <w:sz w:val="30"/>
      <w:szCs w:val="28"/>
    </w:rPr>
  </w:style>
  <w:style w:type="paragraph" w:customStyle="1" w:styleId="251">
    <w:name w:val="二级目录"/>
    <w:next w:val="1"/>
    <w:link w:val="250"/>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252">
    <w:name w:val="apple-converted-space"/>
    <w:qFormat/>
    <w:uiPriority w:val="99"/>
  </w:style>
  <w:style w:type="character" w:customStyle="1" w:styleId="253">
    <w:name w:val="Char Char Char Char Char"/>
    <w:link w:val="254"/>
    <w:qFormat/>
    <w:uiPriority w:val="0"/>
    <w:rPr>
      <w:rFonts w:ascii="Tahoma" w:hAnsi="Tahoma" w:eastAsia="宋体"/>
      <w:sz w:val="24"/>
      <w:szCs w:val="24"/>
      <w:lang w:val="en-US" w:eastAsia="zh-CN" w:bidi="ar-SA"/>
    </w:rPr>
  </w:style>
  <w:style w:type="paragraph" w:customStyle="1" w:styleId="254">
    <w:name w:val="Char Char Char Char"/>
    <w:basedOn w:val="15"/>
    <w:link w:val="253"/>
    <w:qFormat/>
    <w:uiPriority w:val="0"/>
    <w:pPr>
      <w:spacing w:line="360" w:lineRule="auto"/>
    </w:pPr>
    <w:rPr>
      <w:rFonts w:ascii="Tahoma" w:hAnsi="Tahoma"/>
      <w:sz w:val="24"/>
      <w:szCs w:val="24"/>
    </w:rPr>
  </w:style>
  <w:style w:type="character" w:customStyle="1" w:styleId="255">
    <w:name w:val="普通正文 Char"/>
    <w:link w:val="256"/>
    <w:qFormat/>
    <w:uiPriority w:val="0"/>
    <w:rPr>
      <w:rFonts w:ascii="Arial" w:hAnsi="Arial"/>
      <w:sz w:val="24"/>
      <w:szCs w:val="24"/>
    </w:rPr>
  </w:style>
  <w:style w:type="paragraph" w:customStyle="1" w:styleId="256">
    <w:name w:val="普通正文"/>
    <w:basedOn w:val="1"/>
    <w:link w:val="255"/>
    <w:qFormat/>
    <w:uiPriority w:val="0"/>
    <w:pPr>
      <w:spacing w:before="120" w:after="120" w:line="360" w:lineRule="auto"/>
      <w:ind w:firstLine="480"/>
      <w:jc w:val="left"/>
    </w:pPr>
    <w:rPr>
      <w:rFonts w:ascii="Arial" w:hAnsi="Arial"/>
      <w:sz w:val="24"/>
      <w:szCs w:val="24"/>
    </w:rPr>
  </w:style>
  <w:style w:type="character" w:customStyle="1" w:styleId="257">
    <w:name w:val="font51"/>
    <w:qFormat/>
    <w:uiPriority w:val="0"/>
    <w:rPr>
      <w:rFonts w:hint="eastAsia" w:ascii="宋体" w:hAnsi="宋体" w:eastAsia="宋体" w:cs="宋体"/>
      <w:color w:val="000000"/>
      <w:sz w:val="22"/>
      <w:szCs w:val="22"/>
      <w:u w:val="none"/>
    </w:rPr>
  </w:style>
  <w:style w:type="character" w:customStyle="1" w:styleId="258">
    <w:name w:val="font61"/>
    <w:qFormat/>
    <w:uiPriority w:val="0"/>
    <w:rPr>
      <w:rFonts w:ascii="Wingdings" w:hAnsi="Wingdings" w:cs="Wingdings"/>
      <w:color w:val="000000"/>
      <w:sz w:val="22"/>
      <w:szCs w:val="22"/>
      <w:u w:val="none"/>
    </w:rPr>
  </w:style>
  <w:style w:type="paragraph" w:customStyle="1" w:styleId="259">
    <w:name w:val="Body Text(ch)"/>
    <w:basedOn w:val="1"/>
    <w:next w:val="19"/>
    <w:qFormat/>
    <w:uiPriority w:val="0"/>
    <w:pPr>
      <w:spacing w:after="120"/>
    </w:pPr>
    <w:rPr>
      <w:rFonts w:ascii="宋体" w:hAnsi="Arial"/>
      <w:bCs/>
      <w:iCs/>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4">
    <w:name w:val="table_1stline"/>
    <w:basedOn w:val="1"/>
    <w:qFormat/>
    <w:uiPriority w:val="0"/>
    <w:pPr>
      <w:widowControl/>
      <w:spacing w:before="120"/>
      <w:jc w:val="left"/>
    </w:pPr>
    <w:rPr>
      <w:bCs/>
      <w:sz w:val="20"/>
      <w:szCs w:val="20"/>
      <w:lang w:val="de-DE" w:eastAsia="de-DE"/>
    </w:rPr>
  </w:style>
  <w:style w:type="paragraph" w:customStyle="1" w:styleId="265">
    <w:name w:val="Achievement"/>
    <w:basedOn w:val="1"/>
    <w:qFormat/>
    <w:uiPriority w:val="0"/>
    <w:pPr>
      <w:widowControl/>
      <w:numPr>
        <w:ilvl w:val="0"/>
        <w:numId w:val="2"/>
      </w:numPr>
      <w:spacing w:before="60" w:after="60"/>
      <w:jc w:val="left"/>
    </w:pPr>
    <w:rPr>
      <w:sz w:val="20"/>
      <w:szCs w:val="20"/>
      <w:lang w:val="it-IT"/>
    </w:rPr>
  </w:style>
  <w:style w:type="paragraph" w:customStyle="1" w:styleId="266">
    <w:name w:val="_Style 3"/>
    <w:basedOn w:val="1"/>
    <w:qFormat/>
    <w:uiPriority w:val="34"/>
    <w:pPr>
      <w:ind w:firstLine="420"/>
    </w:pPr>
    <w:rPr>
      <w:szCs w:val="24"/>
    </w:rPr>
  </w:style>
  <w:style w:type="paragraph" w:customStyle="1" w:styleId="267">
    <w:name w:val="table_lines"/>
    <w:basedOn w:val="1"/>
    <w:qFormat/>
    <w:uiPriority w:val="0"/>
    <w:pPr>
      <w:widowControl/>
      <w:jc w:val="left"/>
    </w:pPr>
    <w:rPr>
      <w:sz w:val="20"/>
      <w:szCs w:val="20"/>
      <w:lang w:val="de-DE" w:eastAsia="de-DE"/>
    </w:rPr>
  </w:style>
  <w:style w:type="paragraph" w:customStyle="1" w:styleId="268">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样式1"/>
    <w:basedOn w:val="1"/>
    <w:qFormat/>
    <w:uiPriority w:val="0"/>
    <w:pPr>
      <w:numPr>
        <w:ilvl w:val="0"/>
        <w:numId w:val="4"/>
      </w:numPr>
    </w:pPr>
    <w:rPr>
      <w:rFonts w:ascii="宋体" w:hAnsi="宋体"/>
    </w:rPr>
  </w:style>
  <w:style w:type="paragraph" w:customStyle="1" w:styleId="27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6">
    <w:name w:val="Table Paragraph"/>
    <w:basedOn w:val="1"/>
    <w:qFormat/>
    <w:uiPriority w:val="1"/>
    <w:pPr>
      <w:spacing w:line="276" w:lineRule="auto"/>
    </w:pPr>
    <w:rPr>
      <w:rFonts w:ascii="Calibri" w:hAnsi="Calibri" w:cs="Calibri"/>
      <w:szCs w:val="22"/>
    </w:rPr>
  </w:style>
  <w:style w:type="paragraph" w:customStyle="1" w:styleId="277">
    <w:name w:val="Char Char Char Char1"/>
    <w:basedOn w:val="15"/>
    <w:qFormat/>
    <w:uiPriority w:val="0"/>
    <w:pPr>
      <w:spacing w:line="360" w:lineRule="auto"/>
    </w:pPr>
    <w:rPr>
      <w:rFonts w:ascii="Tahoma" w:hAnsi="Tahoma"/>
      <w:sz w:val="24"/>
      <w:szCs w:val="24"/>
    </w:rPr>
  </w:style>
  <w:style w:type="paragraph" w:customStyle="1" w:styleId="278">
    <w:name w:val="_Style 5"/>
    <w:basedOn w:val="1"/>
    <w:next w:val="243"/>
    <w:qFormat/>
    <w:uiPriority w:val="99"/>
    <w:pPr>
      <w:ind w:firstLine="420"/>
    </w:pPr>
    <w:rPr>
      <w:szCs w:val="22"/>
    </w:rPr>
  </w:style>
  <w:style w:type="paragraph" w:customStyle="1" w:styleId="2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0">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1">
    <w:name w:val="Char Char Char Char Char Char Char Char Char Char"/>
    <w:basedOn w:val="1"/>
    <w:qFormat/>
    <w:uiPriority w:val="0"/>
    <w:pPr>
      <w:spacing w:line="360" w:lineRule="auto"/>
    </w:pPr>
    <w:rPr>
      <w:sz w:val="24"/>
      <w:szCs w:val="20"/>
    </w:rPr>
  </w:style>
  <w:style w:type="paragraph" w:customStyle="1" w:styleId="28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7">
    <w:name w:val="Char1"/>
    <w:basedOn w:val="15"/>
    <w:qFormat/>
    <w:uiPriority w:val="0"/>
    <w:rPr>
      <w:rFonts w:ascii="Tahoma" w:hAnsi="Tahoma"/>
      <w:sz w:val="24"/>
      <w:szCs w:val="24"/>
    </w:rPr>
  </w:style>
  <w:style w:type="paragraph" w:customStyle="1" w:styleId="288">
    <w:name w:val="4"/>
    <w:basedOn w:val="1"/>
    <w:next w:val="40"/>
    <w:qFormat/>
    <w:uiPriority w:val="99"/>
    <w:pPr>
      <w:spacing w:line="360" w:lineRule="auto"/>
      <w:ind w:firstLine="420"/>
    </w:pPr>
    <w:rPr>
      <w:color w:val="FF0000"/>
      <w:sz w:val="24"/>
      <w:szCs w:val="24"/>
    </w:rPr>
  </w:style>
  <w:style w:type="paragraph" w:customStyle="1" w:styleId="28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0">
    <w:name w:val="font31"/>
    <w:qFormat/>
    <w:uiPriority w:val="0"/>
    <w:rPr>
      <w:rFonts w:hint="eastAsia" w:ascii="黑体" w:hAnsi="宋体" w:eastAsia="黑体" w:cs="黑体"/>
      <w:color w:val="000000"/>
      <w:sz w:val="13"/>
      <w:szCs w:val="13"/>
      <w:u w:val="none"/>
    </w:rPr>
  </w:style>
  <w:style w:type="character" w:customStyle="1" w:styleId="291">
    <w:name w:val="NormalCharacter"/>
    <w:qFormat/>
    <w:uiPriority w:val="0"/>
    <w:rPr>
      <w:rFonts w:ascii="Times New Roman" w:hAnsi="Times New Roman" w:eastAsia="宋体"/>
    </w:rPr>
  </w:style>
  <w:style w:type="paragraph" w:customStyle="1" w:styleId="292">
    <w:name w:val="标题 41"/>
    <w:basedOn w:val="1"/>
    <w:next w:val="293"/>
    <w:qFormat/>
    <w:uiPriority w:val="9"/>
    <w:pPr>
      <w:keepNext/>
      <w:keepLines/>
      <w:spacing w:before="280" w:after="290" w:line="374" w:lineRule="auto"/>
      <w:outlineLvl w:val="3"/>
    </w:pPr>
    <w:rPr>
      <w:rFonts w:ascii="Arial" w:hAnsi="Arial" w:eastAsia="黑体" w:cs="Arial"/>
      <w:b/>
      <w:bCs/>
      <w:sz w:val="28"/>
      <w:szCs w:val="28"/>
    </w:rPr>
  </w:style>
  <w:style w:type="paragraph" w:customStyle="1" w:styleId="293">
    <w:name w:val="正文缩进1"/>
    <w:basedOn w:val="1"/>
    <w:qFormat/>
    <w:uiPriority w:val="0"/>
    <w:pPr>
      <w:ind w:firstLine="420"/>
    </w:pPr>
  </w:style>
  <w:style w:type="paragraph" w:customStyle="1" w:styleId="294">
    <w:name w:val="标题 21"/>
    <w:basedOn w:val="1"/>
    <w:next w:val="29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95">
    <w:name w:val="标题 31"/>
    <w:basedOn w:val="1"/>
    <w:next w:val="293"/>
    <w:qFormat/>
    <w:uiPriority w:val="0"/>
    <w:pPr>
      <w:keepNext/>
      <w:keepLines/>
      <w:spacing w:before="260" w:after="260" w:line="416" w:lineRule="auto"/>
      <w:outlineLvl w:val="2"/>
    </w:pPr>
    <w:rPr>
      <w:b/>
      <w:bCs/>
      <w:sz w:val="32"/>
      <w:szCs w:val="32"/>
    </w:rPr>
  </w:style>
  <w:style w:type="paragraph" w:customStyle="1" w:styleId="296">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297">
    <w:name w:val="Table Normal"/>
    <w:semiHidden/>
    <w:unhideWhenUsed/>
    <w:qFormat/>
    <w:uiPriority w:val="0"/>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98">
    <w:name w:val="active16"/>
    <w:basedOn w:val="54"/>
    <w:qFormat/>
    <w:uiPriority w:val="0"/>
    <w:rPr>
      <w:color w:val="FFFFFF"/>
      <w:shd w:val="clear" w:color="auto" w:fill="0F5BB9"/>
    </w:rPr>
  </w:style>
  <w:style w:type="character" w:customStyle="1" w:styleId="299">
    <w:name w:val="active"/>
    <w:basedOn w:val="54"/>
    <w:qFormat/>
    <w:uiPriority w:val="0"/>
    <w:rPr>
      <w:color w:val="FFFFFF"/>
      <w:shd w:val="clear" w:color="auto" w:fill="0F5BB9"/>
    </w:rPr>
  </w:style>
  <w:style w:type="paragraph" w:customStyle="1" w:styleId="300">
    <w:name w:val="null3"/>
    <w:hidden/>
    <w:qFormat/>
    <w:uiPriority w:val="0"/>
    <w:rPr>
      <w:rFonts w:hint="eastAsia" w:asciiTheme="minorHAnsi" w:hAnsiTheme="minorHAnsi" w:eastAsiaTheme="minorEastAsia" w:cstheme="minorBidi"/>
      <w:lang w:val="en-US" w:eastAsia="zh-Hans"/>
    </w:rPr>
  </w:style>
  <w:style w:type="character" w:customStyle="1" w:styleId="301">
    <w:name w:val="font11"/>
    <w:basedOn w:val="54"/>
    <w:qFormat/>
    <w:uiPriority w:val="0"/>
    <w:rPr>
      <w:rFonts w:hint="eastAsia" w:ascii="宋体" w:hAnsi="宋体" w:eastAsia="宋体" w:cs="宋体"/>
      <w:color w:val="000000"/>
      <w:sz w:val="22"/>
      <w:szCs w:val="22"/>
      <w:u w:val="none"/>
    </w:rPr>
  </w:style>
  <w:style w:type="paragraph" w:customStyle="1" w:styleId="30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盐城市大丰人民医院</Company>
  <Pages>62</Pages>
  <Words>13408</Words>
  <Characters>14494</Characters>
  <TotalTime>0</TotalTime>
  <ScaleCrop>false</ScaleCrop>
  <LinksUpToDate>false</LinksUpToDate>
  <CharactersWithSpaces>14700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2023-04-17T08:19:00Z</dcterms:created>
  <dc:creator>Administrator</dc:creator>
  <cp:lastModifiedBy>A   安琪</cp:lastModifiedBy>
  <cp:lastPrinted>2025-11-24T02:39:00Z</cp:lastPrinted>
  <dcterms:modified xsi:type="dcterms:W3CDTF">2025-12-02T01:18:29Z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3B1612D39FC84652A8994FEB35164AA5_13</vt:lpwstr>
  </property>
  <property fmtid="{D5CDD505-2E9C-101B-9397-08002B2CF9AE}" pid="4" name="KSOTemplateDocerSaveRecord">
    <vt:lpwstr>eyJoZGlkIjoiMjdiNTNiMGM1NzMxZWFjNWM0ZGY4ZTFhNDA1NTFkYjgiLCJ1c2VySWQiOiIzMjMzMzQ5MzEifQ==</vt:lpwstr>
  </property>
</Properties>
</file>